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725B" w14:textId="77777777" w:rsidR="00141E57" w:rsidRPr="00473076" w:rsidRDefault="00141E57" w:rsidP="00473076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5A689451" w14:textId="21ABBC67" w:rsidR="00D91512" w:rsidRPr="00473076" w:rsidRDefault="00D91512" w:rsidP="00473076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473076">
        <w:rPr>
          <w:rFonts w:ascii="Arial" w:hAnsi="Arial" w:cs="Arial"/>
          <w:b/>
          <w:bCs/>
          <w:sz w:val="23"/>
          <w:szCs w:val="23"/>
          <w:u w:val="single"/>
        </w:rPr>
        <w:t>C</w:t>
      </w:r>
      <w:r w:rsidR="002E51B1" w:rsidRPr="00473076">
        <w:rPr>
          <w:rFonts w:ascii="Arial" w:hAnsi="Arial" w:cs="Arial"/>
          <w:b/>
          <w:bCs/>
          <w:sz w:val="23"/>
          <w:szCs w:val="23"/>
          <w:u w:val="single"/>
        </w:rPr>
        <w:t>omunicato stampa</w:t>
      </w:r>
    </w:p>
    <w:p w14:paraId="316759E8" w14:textId="77777777" w:rsidR="00DA58B4" w:rsidRPr="00473076" w:rsidRDefault="00DA58B4" w:rsidP="00473076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6D7DE54" w14:textId="0AD3C139" w:rsidR="007414D6" w:rsidRPr="00473076" w:rsidRDefault="00DA58B4" w:rsidP="00473076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73076">
        <w:rPr>
          <w:rFonts w:ascii="Arial" w:hAnsi="Arial" w:cs="Arial"/>
          <w:b/>
          <w:bCs/>
          <w:sz w:val="23"/>
          <w:szCs w:val="23"/>
        </w:rPr>
        <w:t>ANTIRICICLAGGIO: COMMERCIALISTI, PROROGARE TERMINE PER LA COMUNICAZIONE AL REGISTRO DELLE IMPRESE DELLA TITOLARITÀ EFFETTIVA</w:t>
      </w:r>
    </w:p>
    <w:p w14:paraId="37A0D261" w14:textId="77777777" w:rsidR="001A6E03" w:rsidRPr="00473076" w:rsidRDefault="001A6E03" w:rsidP="00473076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5CF103A1" w14:textId="3F1DCCA2" w:rsidR="00DA58B4" w:rsidRPr="00473076" w:rsidRDefault="001A6E03" w:rsidP="00473076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73076">
        <w:rPr>
          <w:rFonts w:ascii="Arial" w:hAnsi="Arial" w:cs="Arial"/>
          <w:b/>
          <w:bCs/>
          <w:sz w:val="23"/>
          <w:szCs w:val="23"/>
        </w:rPr>
        <w:t>Il</w:t>
      </w:r>
      <w:r w:rsidR="00DA58B4" w:rsidRPr="00473076">
        <w:rPr>
          <w:rFonts w:ascii="Arial" w:hAnsi="Arial" w:cs="Arial"/>
          <w:b/>
          <w:bCs/>
          <w:sz w:val="23"/>
          <w:szCs w:val="23"/>
        </w:rPr>
        <w:t xml:space="preserve"> TAR del Lazio ha dichiarato infondati i ricorsi su operatività del sistema di comunicazione dei dati e delle informazioni</w:t>
      </w:r>
      <w:r w:rsidRPr="00473076">
        <w:rPr>
          <w:rFonts w:ascii="Arial" w:hAnsi="Arial" w:cs="Arial"/>
          <w:b/>
          <w:bCs/>
          <w:sz w:val="23"/>
          <w:szCs w:val="23"/>
        </w:rPr>
        <w:t xml:space="preserve">. Per la categoria “la riapertura dei termini dal 9 aprile ha un pesante impatto operativo sugli studi professionali. </w:t>
      </w:r>
      <w:r w:rsidR="003416D1" w:rsidRPr="00473076">
        <w:rPr>
          <w:rFonts w:ascii="Arial" w:hAnsi="Arial" w:cs="Arial"/>
          <w:b/>
          <w:bCs/>
          <w:sz w:val="23"/>
          <w:szCs w:val="23"/>
        </w:rPr>
        <w:t>T</w:t>
      </w:r>
      <w:r w:rsidRPr="00473076">
        <w:rPr>
          <w:rFonts w:ascii="Arial" w:hAnsi="Arial" w:cs="Arial"/>
          <w:b/>
          <w:bCs/>
          <w:sz w:val="23"/>
          <w:szCs w:val="23"/>
        </w:rPr>
        <w:t>roppo ravvicinata la scadenza dell’11 aprile”</w:t>
      </w:r>
    </w:p>
    <w:p w14:paraId="427908CB" w14:textId="77777777" w:rsidR="007414D6" w:rsidRPr="00473076" w:rsidRDefault="007414D6" w:rsidP="00473076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554BAD0" w14:textId="39BEB01D" w:rsidR="007414D6" w:rsidRPr="00473076" w:rsidRDefault="007414D6" w:rsidP="00473076">
      <w:pPr>
        <w:jc w:val="both"/>
        <w:rPr>
          <w:rFonts w:ascii="Arial" w:hAnsi="Arial" w:cs="Arial"/>
          <w:sz w:val="23"/>
          <w:szCs w:val="23"/>
        </w:rPr>
      </w:pPr>
      <w:r w:rsidRPr="00473076">
        <w:rPr>
          <w:rFonts w:ascii="Arial" w:hAnsi="Arial" w:cs="Arial"/>
          <w:i/>
          <w:iCs/>
          <w:sz w:val="23"/>
          <w:szCs w:val="23"/>
        </w:rPr>
        <w:t>Roma, 10 aprile 2024 –</w:t>
      </w:r>
      <w:r w:rsidRPr="00473076">
        <w:rPr>
          <w:rFonts w:ascii="Arial" w:hAnsi="Arial" w:cs="Arial"/>
          <w:sz w:val="23"/>
          <w:szCs w:val="23"/>
        </w:rPr>
        <w:t xml:space="preserve"> Prorogare il termine dell’</w:t>
      </w:r>
      <w:r w:rsidRPr="00473076">
        <w:rPr>
          <w:rFonts w:ascii="Arial" w:hAnsi="Arial" w:cs="Arial"/>
          <w:b/>
          <w:bCs/>
          <w:sz w:val="23"/>
          <w:szCs w:val="23"/>
        </w:rPr>
        <w:t xml:space="preserve">11 aprile 2024 </w:t>
      </w:r>
      <w:r w:rsidRPr="00473076">
        <w:rPr>
          <w:rFonts w:ascii="Arial" w:hAnsi="Arial" w:cs="Arial"/>
          <w:sz w:val="23"/>
          <w:szCs w:val="23"/>
        </w:rPr>
        <w:t xml:space="preserve">previsto per la comunicazione al Registro delle Imprese della </w:t>
      </w:r>
      <w:r w:rsidRPr="00473076">
        <w:rPr>
          <w:rFonts w:ascii="Arial" w:hAnsi="Arial" w:cs="Arial"/>
          <w:b/>
          <w:bCs/>
          <w:sz w:val="23"/>
          <w:szCs w:val="23"/>
        </w:rPr>
        <w:t>titolarità effettiva</w:t>
      </w:r>
      <w:r w:rsidRPr="00473076">
        <w:rPr>
          <w:rFonts w:ascii="Arial" w:hAnsi="Arial" w:cs="Arial"/>
          <w:sz w:val="23"/>
          <w:szCs w:val="23"/>
        </w:rPr>
        <w:t xml:space="preserve">. È la richiesta avanzata dal presidente del Consiglio nazionale dei commercialisti, </w:t>
      </w:r>
      <w:r w:rsidRPr="00473076">
        <w:rPr>
          <w:rFonts w:ascii="Arial" w:hAnsi="Arial" w:cs="Arial"/>
          <w:b/>
          <w:bCs/>
          <w:sz w:val="23"/>
          <w:szCs w:val="23"/>
        </w:rPr>
        <w:t>Elbano de Nuccio</w:t>
      </w:r>
      <w:r w:rsidRPr="00473076">
        <w:rPr>
          <w:rFonts w:ascii="Arial" w:hAnsi="Arial" w:cs="Arial"/>
          <w:sz w:val="23"/>
          <w:szCs w:val="23"/>
        </w:rPr>
        <w:t>, in una lettera inviata oggi a</w:t>
      </w:r>
      <w:r w:rsidR="00123B2A">
        <w:rPr>
          <w:rFonts w:ascii="Arial" w:hAnsi="Arial" w:cs="Arial"/>
          <w:sz w:val="23"/>
          <w:szCs w:val="23"/>
        </w:rPr>
        <w:t>l</w:t>
      </w:r>
      <w:r w:rsidRPr="00473076">
        <w:rPr>
          <w:rFonts w:ascii="Arial" w:hAnsi="Arial" w:cs="Arial"/>
          <w:sz w:val="23"/>
          <w:szCs w:val="23"/>
        </w:rPr>
        <w:t xml:space="preserve"> Ministro dell’Economia, </w:t>
      </w:r>
      <w:r w:rsidRPr="00473076">
        <w:rPr>
          <w:rFonts w:ascii="Arial" w:hAnsi="Arial" w:cs="Arial"/>
          <w:b/>
          <w:bCs/>
          <w:sz w:val="23"/>
          <w:szCs w:val="23"/>
        </w:rPr>
        <w:t>Giancarlo Giorgetti</w:t>
      </w:r>
      <w:r w:rsidRPr="00473076">
        <w:rPr>
          <w:rFonts w:ascii="Arial" w:hAnsi="Arial" w:cs="Arial"/>
          <w:sz w:val="23"/>
          <w:szCs w:val="23"/>
        </w:rPr>
        <w:t xml:space="preserve">, e a quello delle imprese del made in Italy, </w:t>
      </w:r>
      <w:r w:rsidRPr="00473076">
        <w:rPr>
          <w:rFonts w:ascii="Arial" w:hAnsi="Arial" w:cs="Arial"/>
          <w:b/>
          <w:bCs/>
          <w:sz w:val="23"/>
          <w:szCs w:val="23"/>
        </w:rPr>
        <w:t>Adolfo Urso</w:t>
      </w:r>
      <w:r w:rsidRPr="00473076">
        <w:rPr>
          <w:rFonts w:ascii="Arial" w:hAnsi="Arial" w:cs="Arial"/>
          <w:sz w:val="23"/>
          <w:szCs w:val="23"/>
        </w:rPr>
        <w:t xml:space="preserve">. </w:t>
      </w:r>
    </w:p>
    <w:p w14:paraId="6F31BB0F" w14:textId="77777777" w:rsidR="00DA58B4" w:rsidRPr="00473076" w:rsidRDefault="00DA58B4" w:rsidP="00473076">
      <w:pPr>
        <w:jc w:val="both"/>
        <w:rPr>
          <w:rFonts w:ascii="Arial" w:hAnsi="Arial" w:cs="Arial"/>
          <w:sz w:val="23"/>
          <w:szCs w:val="23"/>
        </w:rPr>
      </w:pPr>
    </w:p>
    <w:p w14:paraId="5DD4C0E8" w14:textId="51CA1C71" w:rsidR="007414D6" w:rsidRDefault="007414D6" w:rsidP="00473076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473076">
        <w:rPr>
          <w:rFonts w:ascii="Arial" w:hAnsi="Arial" w:cs="Arial"/>
          <w:sz w:val="23"/>
          <w:szCs w:val="23"/>
        </w:rPr>
        <w:t xml:space="preserve">“Appellandoci ad un condivisibile sentimento di </w:t>
      </w:r>
      <w:r w:rsidRPr="00473076">
        <w:rPr>
          <w:rFonts w:ascii="Arial" w:hAnsi="Arial" w:cs="Arial"/>
          <w:b/>
          <w:bCs/>
          <w:sz w:val="23"/>
          <w:szCs w:val="23"/>
        </w:rPr>
        <w:t>ragionevolezza</w:t>
      </w:r>
      <w:r w:rsidRPr="00473076">
        <w:rPr>
          <w:rFonts w:ascii="Arial" w:hAnsi="Arial" w:cs="Arial"/>
          <w:sz w:val="23"/>
          <w:szCs w:val="23"/>
        </w:rPr>
        <w:t xml:space="preserve">, avvalorato dalle scadenze legate all’imminente </w:t>
      </w:r>
      <w:r w:rsidRPr="00473076">
        <w:rPr>
          <w:rFonts w:ascii="Arial" w:hAnsi="Arial" w:cs="Arial"/>
          <w:b/>
          <w:bCs/>
          <w:sz w:val="23"/>
          <w:szCs w:val="23"/>
        </w:rPr>
        <w:t>approvazione e deposito dei bilanci</w:t>
      </w:r>
      <w:r w:rsidRPr="00473076">
        <w:rPr>
          <w:rFonts w:ascii="Arial" w:hAnsi="Arial" w:cs="Arial"/>
          <w:sz w:val="23"/>
          <w:szCs w:val="23"/>
        </w:rPr>
        <w:t xml:space="preserve">, auspichiamo, se non una integrale </w:t>
      </w:r>
      <w:r w:rsidRPr="00473076">
        <w:rPr>
          <w:rFonts w:ascii="Arial" w:hAnsi="Arial" w:cs="Arial"/>
          <w:b/>
          <w:bCs/>
          <w:sz w:val="23"/>
          <w:szCs w:val="23"/>
        </w:rPr>
        <w:t>remissione in termini</w:t>
      </w:r>
      <w:r w:rsidRPr="00473076">
        <w:rPr>
          <w:rFonts w:ascii="Arial" w:hAnsi="Arial" w:cs="Arial"/>
          <w:sz w:val="23"/>
          <w:szCs w:val="23"/>
        </w:rPr>
        <w:t>, quanto meno la proroga del predetto termine ad una data successiva alla fine del mese di aprile”, scrive de Nuccio.</w:t>
      </w:r>
    </w:p>
    <w:p w14:paraId="3698F7A2" w14:textId="77777777" w:rsidR="00473076" w:rsidRPr="00473076" w:rsidRDefault="00473076" w:rsidP="00473076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69846B1C" w14:textId="6E14213C" w:rsidR="007414D6" w:rsidRPr="00473076" w:rsidRDefault="007414D6" w:rsidP="00473076">
      <w:pPr>
        <w:jc w:val="both"/>
        <w:rPr>
          <w:rFonts w:ascii="Arial" w:hAnsi="Arial" w:cs="Arial"/>
          <w:sz w:val="23"/>
          <w:szCs w:val="23"/>
        </w:rPr>
      </w:pPr>
      <w:r w:rsidRPr="00473076">
        <w:rPr>
          <w:rFonts w:ascii="Arial" w:hAnsi="Arial" w:cs="Arial"/>
          <w:sz w:val="23"/>
          <w:szCs w:val="23"/>
        </w:rPr>
        <w:t xml:space="preserve">Come spiegato dalla Consigliera nazionale dei commercialisti delegata all’antiriciclaggio e all’anticorruzione, </w:t>
      </w:r>
      <w:r w:rsidRPr="00473076">
        <w:rPr>
          <w:rFonts w:ascii="Arial" w:hAnsi="Arial" w:cs="Arial"/>
          <w:b/>
          <w:bCs/>
          <w:sz w:val="23"/>
          <w:szCs w:val="23"/>
        </w:rPr>
        <w:t>Gabriella Viggiano</w:t>
      </w:r>
      <w:r w:rsidRPr="00473076">
        <w:rPr>
          <w:rFonts w:ascii="Arial" w:hAnsi="Arial" w:cs="Arial"/>
          <w:sz w:val="23"/>
          <w:szCs w:val="23"/>
        </w:rPr>
        <w:t xml:space="preserve">, “con le Sentenze pubblicate lo scorso 9 aprile (nn. 6837, 6839, 6840, 6841, 6844, 6845), il </w:t>
      </w:r>
      <w:r w:rsidRPr="00473076">
        <w:rPr>
          <w:rFonts w:ascii="Arial" w:hAnsi="Arial" w:cs="Arial"/>
          <w:b/>
          <w:bCs/>
          <w:sz w:val="23"/>
          <w:szCs w:val="23"/>
        </w:rPr>
        <w:t>TAR del Lazio</w:t>
      </w:r>
      <w:r w:rsidRPr="00473076">
        <w:rPr>
          <w:rFonts w:ascii="Arial" w:hAnsi="Arial" w:cs="Arial"/>
          <w:sz w:val="23"/>
          <w:szCs w:val="23"/>
        </w:rPr>
        <w:t xml:space="preserve"> ha dichiarato come </w:t>
      </w:r>
      <w:r w:rsidRPr="00473076">
        <w:rPr>
          <w:rFonts w:ascii="Arial" w:hAnsi="Arial" w:cs="Arial"/>
          <w:b/>
          <w:bCs/>
          <w:sz w:val="23"/>
          <w:szCs w:val="23"/>
        </w:rPr>
        <w:t>infondati</w:t>
      </w:r>
      <w:r w:rsidRPr="00473076">
        <w:rPr>
          <w:rFonts w:ascii="Arial" w:hAnsi="Arial" w:cs="Arial"/>
          <w:sz w:val="23"/>
          <w:szCs w:val="23"/>
        </w:rPr>
        <w:t xml:space="preserve"> i sei ricorsi presentati da diverse associazioni fiduciarie per l’annullamento, previa sospensione dell’efficacia, del decreto MIMIT del </w:t>
      </w:r>
      <w:hyperlink r:id="rId7" w:history="1">
        <w:r w:rsidRPr="00473076">
          <w:rPr>
            <w:rFonts w:ascii="Arial" w:hAnsi="Arial" w:cs="Arial"/>
            <w:sz w:val="23"/>
            <w:szCs w:val="23"/>
          </w:rPr>
          <w:t>29 settembre 2023</w:t>
        </w:r>
      </w:hyperlink>
      <w:r w:rsidRPr="00473076">
        <w:rPr>
          <w:rFonts w:ascii="Arial" w:hAnsi="Arial" w:cs="Arial"/>
          <w:sz w:val="23"/>
          <w:szCs w:val="23"/>
        </w:rPr>
        <w:t xml:space="preserve"> (attestante l’operatività del sistema di comunicazione dei dati e delle informazioni sulla titolarità effettiva), del Manuale operativo Unioncamere per l’invio telematico delle comunicazioni del titolare effettivo agli uffici del Registro delle imprese, nonché di atti e provvedimenti ad essi collegati”. “L’istanza cautelare di sospensione</w:t>
      </w:r>
      <w:r w:rsidR="003E1574">
        <w:rPr>
          <w:rFonts w:ascii="Arial" w:hAnsi="Arial" w:cs="Arial"/>
          <w:sz w:val="23"/>
          <w:szCs w:val="23"/>
        </w:rPr>
        <w:t xml:space="preserve"> – </w:t>
      </w:r>
      <w:r w:rsidRPr="00473076">
        <w:rPr>
          <w:rFonts w:ascii="Arial" w:hAnsi="Arial" w:cs="Arial"/>
          <w:sz w:val="23"/>
          <w:szCs w:val="23"/>
        </w:rPr>
        <w:t>ricorda Viggiano</w:t>
      </w:r>
      <w:r w:rsidR="003E1574">
        <w:rPr>
          <w:rFonts w:ascii="Arial" w:hAnsi="Arial" w:cs="Arial"/>
          <w:sz w:val="23"/>
          <w:szCs w:val="23"/>
        </w:rPr>
        <w:t xml:space="preserve"> – </w:t>
      </w:r>
      <w:r w:rsidRPr="00473076">
        <w:rPr>
          <w:rFonts w:ascii="Arial" w:hAnsi="Arial" w:cs="Arial"/>
          <w:sz w:val="23"/>
          <w:szCs w:val="23"/>
        </w:rPr>
        <w:t>era stata accolta dal Tribunale amministrativo del Lazio con l’Ordinanza n. 8083 del 7 dicembre 2023, a pochi giorni dalla scadenza del termine, fissato per l’</w:t>
      </w:r>
      <w:r w:rsidRPr="00473076">
        <w:rPr>
          <w:rFonts w:ascii="Arial" w:hAnsi="Arial" w:cs="Arial"/>
          <w:b/>
          <w:bCs/>
          <w:sz w:val="23"/>
          <w:szCs w:val="23"/>
        </w:rPr>
        <w:t>11 dicembre 2023</w:t>
      </w:r>
      <w:r w:rsidRPr="00473076">
        <w:rPr>
          <w:rFonts w:ascii="Arial" w:hAnsi="Arial" w:cs="Arial"/>
          <w:sz w:val="23"/>
          <w:szCs w:val="23"/>
        </w:rPr>
        <w:t xml:space="preserve">, per l’inoltro delle comunicazioni. La sospensione, peraltro, aveva interessato tutti i soggetti tenuti alla comunicazione ad entrambe le sezioni del Registro dei titolari effettivi”. </w:t>
      </w:r>
    </w:p>
    <w:p w14:paraId="07FD8B26" w14:textId="77777777" w:rsidR="007414D6" w:rsidRPr="00473076" w:rsidRDefault="007414D6" w:rsidP="00473076">
      <w:pPr>
        <w:jc w:val="both"/>
        <w:rPr>
          <w:rFonts w:ascii="Arial" w:hAnsi="Arial" w:cs="Arial"/>
          <w:sz w:val="23"/>
          <w:szCs w:val="23"/>
        </w:rPr>
      </w:pPr>
    </w:p>
    <w:p w14:paraId="6E55E633" w14:textId="7A3E238F" w:rsidR="007414D6" w:rsidRDefault="007414D6" w:rsidP="00473076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473076">
        <w:rPr>
          <w:rFonts w:ascii="Arial" w:hAnsi="Arial" w:cs="Arial"/>
          <w:sz w:val="23"/>
          <w:szCs w:val="23"/>
        </w:rPr>
        <w:t>Nel merito, le Sentenze hanno rigettato i ricorsi, assorbendo le esigenze cautelari in forza delle quali era stata accordata la sospensione dell’efficacia dell’obbligo di comunicazione. “A stretto rigore giuridico</w:t>
      </w:r>
      <w:r w:rsidR="003E1574">
        <w:rPr>
          <w:rFonts w:ascii="Arial" w:hAnsi="Arial" w:cs="Arial"/>
          <w:sz w:val="23"/>
          <w:szCs w:val="23"/>
        </w:rPr>
        <w:t xml:space="preserve"> – </w:t>
      </w:r>
      <w:r w:rsidRPr="00473076">
        <w:rPr>
          <w:rFonts w:ascii="Arial" w:hAnsi="Arial" w:cs="Arial"/>
          <w:sz w:val="23"/>
          <w:szCs w:val="23"/>
        </w:rPr>
        <w:t>sottolinea l’espone</w:t>
      </w:r>
      <w:r w:rsidR="00DA58B4" w:rsidRPr="00473076">
        <w:rPr>
          <w:rFonts w:ascii="Arial" w:hAnsi="Arial" w:cs="Arial"/>
          <w:sz w:val="23"/>
          <w:szCs w:val="23"/>
        </w:rPr>
        <w:t>n</w:t>
      </w:r>
      <w:r w:rsidRPr="00473076">
        <w:rPr>
          <w:rFonts w:ascii="Arial" w:hAnsi="Arial" w:cs="Arial"/>
          <w:sz w:val="23"/>
          <w:szCs w:val="23"/>
        </w:rPr>
        <w:t>te dei commercialisti</w:t>
      </w:r>
      <w:r w:rsidR="003E1574">
        <w:rPr>
          <w:rFonts w:ascii="Arial" w:hAnsi="Arial" w:cs="Arial"/>
          <w:sz w:val="23"/>
          <w:szCs w:val="23"/>
        </w:rPr>
        <w:t xml:space="preserve"> – </w:t>
      </w:r>
      <w:r w:rsidRPr="00473076">
        <w:rPr>
          <w:rFonts w:ascii="Arial" w:hAnsi="Arial" w:cs="Arial"/>
          <w:sz w:val="23"/>
          <w:szCs w:val="23"/>
        </w:rPr>
        <w:t xml:space="preserve">i termini hanno ripreso a decorrere dal </w:t>
      </w:r>
      <w:r w:rsidRPr="00473076">
        <w:rPr>
          <w:rFonts w:ascii="Arial" w:hAnsi="Arial" w:cs="Arial"/>
          <w:b/>
          <w:bCs/>
          <w:sz w:val="23"/>
          <w:szCs w:val="23"/>
        </w:rPr>
        <w:t>9 aprile 2024</w:t>
      </w:r>
      <w:r w:rsidRPr="00473076">
        <w:rPr>
          <w:rFonts w:ascii="Arial" w:hAnsi="Arial" w:cs="Arial"/>
          <w:sz w:val="23"/>
          <w:szCs w:val="23"/>
        </w:rPr>
        <w:t xml:space="preserve"> con scadenza prevista per l’</w:t>
      </w:r>
      <w:r w:rsidRPr="00473076">
        <w:rPr>
          <w:rFonts w:ascii="Arial" w:hAnsi="Arial" w:cs="Arial"/>
          <w:b/>
          <w:bCs/>
          <w:sz w:val="23"/>
          <w:szCs w:val="23"/>
        </w:rPr>
        <w:t>11 aprile 2024</w:t>
      </w:r>
      <w:r w:rsidRPr="00473076">
        <w:rPr>
          <w:rFonts w:ascii="Arial" w:hAnsi="Arial" w:cs="Arial"/>
          <w:sz w:val="23"/>
          <w:szCs w:val="23"/>
        </w:rPr>
        <w:t xml:space="preserve">, come già evidenziato da alcune Camere di Commercio territoriali. Sul punto, attesa l’impostazione dei ricorsi, era lecito attendersi che, a prescindere dall’esito del giudizio, il TAR del Lazio disponesse alternativamente sulla </w:t>
      </w:r>
      <w:r w:rsidRPr="00473076">
        <w:rPr>
          <w:rFonts w:ascii="Arial" w:hAnsi="Arial" w:cs="Arial"/>
          <w:b/>
          <w:bCs/>
          <w:sz w:val="23"/>
          <w:szCs w:val="23"/>
        </w:rPr>
        <w:t>cessazione dell’adempimento</w:t>
      </w:r>
      <w:r w:rsidRPr="00473076">
        <w:rPr>
          <w:rFonts w:ascii="Arial" w:hAnsi="Arial" w:cs="Arial"/>
          <w:sz w:val="23"/>
          <w:szCs w:val="23"/>
        </w:rPr>
        <w:t xml:space="preserve"> o sulla statuizione di un </w:t>
      </w:r>
      <w:r w:rsidRPr="00473076">
        <w:rPr>
          <w:rFonts w:ascii="Arial" w:hAnsi="Arial" w:cs="Arial"/>
          <w:b/>
          <w:bCs/>
          <w:sz w:val="23"/>
          <w:szCs w:val="23"/>
        </w:rPr>
        <w:t>congruo termine</w:t>
      </w:r>
      <w:r w:rsidRPr="00473076">
        <w:rPr>
          <w:rFonts w:ascii="Arial" w:hAnsi="Arial" w:cs="Arial"/>
          <w:sz w:val="23"/>
          <w:szCs w:val="23"/>
        </w:rPr>
        <w:t xml:space="preserve"> per l’invio delle comunicazioni sospese</w:t>
      </w:r>
      <w:r w:rsidR="00DA58B4" w:rsidRPr="00473076">
        <w:rPr>
          <w:rFonts w:ascii="Arial" w:hAnsi="Arial" w:cs="Arial"/>
          <w:sz w:val="23"/>
          <w:szCs w:val="23"/>
        </w:rPr>
        <w:t>”</w:t>
      </w:r>
      <w:r w:rsidRPr="00473076">
        <w:rPr>
          <w:rFonts w:ascii="Arial" w:hAnsi="Arial" w:cs="Arial"/>
          <w:sz w:val="23"/>
          <w:szCs w:val="23"/>
        </w:rPr>
        <w:t>.</w:t>
      </w:r>
    </w:p>
    <w:p w14:paraId="10182421" w14:textId="77777777" w:rsidR="00473076" w:rsidRPr="00473076" w:rsidRDefault="00473076" w:rsidP="00473076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706D2D2F" w14:textId="3B8EBC13" w:rsidR="007414D6" w:rsidRPr="00473076" w:rsidRDefault="00DA58B4" w:rsidP="00473076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473076">
        <w:rPr>
          <w:rFonts w:ascii="Arial" w:hAnsi="Arial" w:cs="Arial"/>
          <w:sz w:val="23"/>
          <w:szCs w:val="23"/>
        </w:rPr>
        <w:t>“</w:t>
      </w:r>
      <w:r w:rsidR="007414D6" w:rsidRPr="00473076">
        <w:rPr>
          <w:rFonts w:ascii="Arial" w:hAnsi="Arial" w:cs="Arial"/>
          <w:sz w:val="23"/>
          <w:szCs w:val="23"/>
        </w:rPr>
        <w:t>Ciò non è avvenuto e, di conseguenza</w:t>
      </w:r>
      <w:r w:rsidR="003E1574">
        <w:rPr>
          <w:rFonts w:ascii="Arial" w:hAnsi="Arial" w:cs="Arial"/>
          <w:sz w:val="23"/>
          <w:szCs w:val="23"/>
        </w:rPr>
        <w:t xml:space="preserve"> – </w:t>
      </w:r>
      <w:r w:rsidRPr="00473076">
        <w:rPr>
          <w:rFonts w:ascii="Arial" w:hAnsi="Arial" w:cs="Arial"/>
          <w:sz w:val="23"/>
          <w:szCs w:val="23"/>
        </w:rPr>
        <w:t>conclude Viggiano</w:t>
      </w:r>
      <w:r w:rsidR="003E1574">
        <w:rPr>
          <w:rFonts w:ascii="Arial" w:hAnsi="Arial" w:cs="Arial"/>
          <w:sz w:val="23"/>
          <w:szCs w:val="23"/>
        </w:rPr>
        <w:t xml:space="preserve"> –</w:t>
      </w:r>
      <w:r w:rsidRPr="00473076">
        <w:rPr>
          <w:rFonts w:ascii="Arial" w:hAnsi="Arial" w:cs="Arial"/>
          <w:sz w:val="23"/>
          <w:szCs w:val="23"/>
        </w:rPr>
        <w:t xml:space="preserve">, </w:t>
      </w:r>
      <w:r w:rsidR="007414D6" w:rsidRPr="00473076">
        <w:rPr>
          <w:rFonts w:ascii="Arial" w:hAnsi="Arial" w:cs="Arial"/>
          <w:sz w:val="23"/>
          <w:szCs w:val="23"/>
        </w:rPr>
        <w:t>non è difficile immaginare quale possa essere l</w:t>
      </w:r>
      <w:r w:rsidR="007414D6" w:rsidRPr="00473076">
        <w:rPr>
          <w:rFonts w:ascii="Arial" w:hAnsi="Arial" w:cs="Arial"/>
          <w:b/>
          <w:bCs/>
          <w:sz w:val="23"/>
          <w:szCs w:val="23"/>
        </w:rPr>
        <w:t xml:space="preserve">’impatto operativo </w:t>
      </w:r>
      <w:r w:rsidR="007414D6" w:rsidRPr="00473076">
        <w:rPr>
          <w:rFonts w:ascii="Arial" w:hAnsi="Arial" w:cs="Arial"/>
          <w:sz w:val="23"/>
          <w:szCs w:val="23"/>
        </w:rPr>
        <w:t xml:space="preserve">di questa scadenza così ravvicinata sugli </w:t>
      </w:r>
      <w:r w:rsidR="007414D6" w:rsidRPr="00473076">
        <w:rPr>
          <w:rFonts w:ascii="Arial" w:hAnsi="Arial" w:cs="Arial"/>
          <w:b/>
          <w:bCs/>
          <w:sz w:val="23"/>
          <w:szCs w:val="23"/>
        </w:rPr>
        <w:t>studi professionali</w:t>
      </w:r>
      <w:r w:rsidR="007414D6" w:rsidRPr="00473076">
        <w:rPr>
          <w:rFonts w:ascii="Arial" w:hAnsi="Arial" w:cs="Arial"/>
          <w:sz w:val="23"/>
          <w:szCs w:val="23"/>
        </w:rPr>
        <w:t xml:space="preserve"> direttamente coinvolti nella trasmissione telematica delle pratiche di comunicazione della titolarità effettiva delle società e degli altri enti coinvolti</w:t>
      </w:r>
      <w:r w:rsidRPr="00473076">
        <w:rPr>
          <w:rFonts w:ascii="Arial" w:hAnsi="Arial" w:cs="Arial"/>
          <w:sz w:val="23"/>
          <w:szCs w:val="23"/>
        </w:rPr>
        <w:t>”</w:t>
      </w:r>
      <w:r w:rsidR="007414D6" w:rsidRPr="00473076">
        <w:rPr>
          <w:rFonts w:ascii="Arial" w:hAnsi="Arial" w:cs="Arial"/>
          <w:sz w:val="23"/>
          <w:szCs w:val="23"/>
        </w:rPr>
        <w:t>.</w:t>
      </w:r>
      <w:r w:rsidRPr="00473076">
        <w:rPr>
          <w:rFonts w:ascii="Arial" w:hAnsi="Arial" w:cs="Arial"/>
          <w:sz w:val="23"/>
          <w:szCs w:val="23"/>
        </w:rPr>
        <w:t xml:space="preserve"> Di qui la richiesta di rinvio avanzata dalla categoria. </w:t>
      </w:r>
    </w:p>
    <w:p w14:paraId="76FC5942" w14:textId="57F79D22" w:rsidR="00D91512" w:rsidRPr="002E51B1" w:rsidRDefault="00D91512" w:rsidP="007414D6">
      <w:pPr>
        <w:jc w:val="center"/>
        <w:rPr>
          <w:rFonts w:ascii="Arial" w:hAnsi="Arial" w:cs="Arial"/>
          <w:sz w:val="23"/>
          <w:szCs w:val="23"/>
        </w:rPr>
      </w:pPr>
    </w:p>
    <w:sectPr w:rsidR="00D91512" w:rsidRPr="002E51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991C" w14:textId="77777777" w:rsidR="00FA4E98" w:rsidRDefault="00FA4E98" w:rsidP="00A25D50">
      <w:r>
        <w:separator/>
      </w:r>
    </w:p>
  </w:endnote>
  <w:endnote w:type="continuationSeparator" w:id="0">
    <w:p w14:paraId="5A44D76E" w14:textId="77777777" w:rsidR="00FA4E98" w:rsidRDefault="00FA4E98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F99F" w14:textId="77777777" w:rsidR="00FA4E98" w:rsidRDefault="00FA4E98" w:rsidP="00A25D50">
      <w:r>
        <w:separator/>
      </w:r>
    </w:p>
  </w:footnote>
  <w:footnote w:type="continuationSeparator" w:id="0">
    <w:p w14:paraId="466F6C46" w14:textId="77777777" w:rsidR="00FA4E98" w:rsidRDefault="00FA4E98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38622">
    <w:abstractNumId w:val="3"/>
  </w:num>
  <w:num w:numId="2" w16cid:durableId="24257403">
    <w:abstractNumId w:val="0"/>
  </w:num>
  <w:num w:numId="3" w16cid:durableId="314065066">
    <w:abstractNumId w:val="1"/>
  </w:num>
  <w:num w:numId="4" w16cid:durableId="118288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31D23"/>
    <w:rsid w:val="00041437"/>
    <w:rsid w:val="00051B2D"/>
    <w:rsid w:val="000555C2"/>
    <w:rsid w:val="00055C12"/>
    <w:rsid w:val="00071CF9"/>
    <w:rsid w:val="00074F9D"/>
    <w:rsid w:val="00080E29"/>
    <w:rsid w:val="0008445A"/>
    <w:rsid w:val="0009108B"/>
    <w:rsid w:val="000A3C95"/>
    <w:rsid w:val="000A3D02"/>
    <w:rsid w:val="000A4F91"/>
    <w:rsid w:val="000A587A"/>
    <w:rsid w:val="000B23B8"/>
    <w:rsid w:val="000C2587"/>
    <w:rsid w:val="000C4581"/>
    <w:rsid w:val="000D1140"/>
    <w:rsid w:val="000D3F12"/>
    <w:rsid w:val="000D46D2"/>
    <w:rsid w:val="000F1CA8"/>
    <w:rsid w:val="000F659E"/>
    <w:rsid w:val="001072C8"/>
    <w:rsid w:val="00111CF5"/>
    <w:rsid w:val="00123B2A"/>
    <w:rsid w:val="001271ED"/>
    <w:rsid w:val="00127A00"/>
    <w:rsid w:val="00136CF7"/>
    <w:rsid w:val="00141E57"/>
    <w:rsid w:val="001447D0"/>
    <w:rsid w:val="00155682"/>
    <w:rsid w:val="001568B1"/>
    <w:rsid w:val="00164C51"/>
    <w:rsid w:val="00177F55"/>
    <w:rsid w:val="0018410F"/>
    <w:rsid w:val="001A0044"/>
    <w:rsid w:val="001A6E03"/>
    <w:rsid w:val="001A6EDF"/>
    <w:rsid w:val="001B4763"/>
    <w:rsid w:val="001B61C2"/>
    <w:rsid w:val="001C4CB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25593"/>
    <w:rsid w:val="0023378D"/>
    <w:rsid w:val="002343BF"/>
    <w:rsid w:val="00237EC9"/>
    <w:rsid w:val="0024253C"/>
    <w:rsid w:val="00243892"/>
    <w:rsid w:val="00243F31"/>
    <w:rsid w:val="00255528"/>
    <w:rsid w:val="002566E8"/>
    <w:rsid w:val="002647CB"/>
    <w:rsid w:val="00267E62"/>
    <w:rsid w:val="002726BF"/>
    <w:rsid w:val="00277377"/>
    <w:rsid w:val="0029043A"/>
    <w:rsid w:val="00297E48"/>
    <w:rsid w:val="002A143A"/>
    <w:rsid w:val="002A46B8"/>
    <w:rsid w:val="002A74FE"/>
    <w:rsid w:val="002B1BA3"/>
    <w:rsid w:val="002B687E"/>
    <w:rsid w:val="002B7D2B"/>
    <w:rsid w:val="002E51B1"/>
    <w:rsid w:val="002F0117"/>
    <w:rsid w:val="003002C5"/>
    <w:rsid w:val="003059CF"/>
    <w:rsid w:val="0031113D"/>
    <w:rsid w:val="00315E83"/>
    <w:rsid w:val="00333A0F"/>
    <w:rsid w:val="003416D1"/>
    <w:rsid w:val="0034189F"/>
    <w:rsid w:val="00347274"/>
    <w:rsid w:val="00356418"/>
    <w:rsid w:val="003606F3"/>
    <w:rsid w:val="00365441"/>
    <w:rsid w:val="003771AB"/>
    <w:rsid w:val="00382DCB"/>
    <w:rsid w:val="00394F50"/>
    <w:rsid w:val="003968CF"/>
    <w:rsid w:val="003A20B9"/>
    <w:rsid w:val="003A2DAE"/>
    <w:rsid w:val="003A52D9"/>
    <w:rsid w:val="003A643A"/>
    <w:rsid w:val="003A663E"/>
    <w:rsid w:val="003A73E6"/>
    <w:rsid w:val="003A7D94"/>
    <w:rsid w:val="003B37B2"/>
    <w:rsid w:val="003B4930"/>
    <w:rsid w:val="003D6FDB"/>
    <w:rsid w:val="003E1574"/>
    <w:rsid w:val="003E3AB2"/>
    <w:rsid w:val="00407826"/>
    <w:rsid w:val="004328C7"/>
    <w:rsid w:val="00445F1F"/>
    <w:rsid w:val="00446E08"/>
    <w:rsid w:val="00463C7D"/>
    <w:rsid w:val="00473076"/>
    <w:rsid w:val="004812F0"/>
    <w:rsid w:val="004B1F06"/>
    <w:rsid w:val="004B7F50"/>
    <w:rsid w:val="004C0C6B"/>
    <w:rsid w:val="004C59E2"/>
    <w:rsid w:val="004E06ED"/>
    <w:rsid w:val="004E34CF"/>
    <w:rsid w:val="004E3EC6"/>
    <w:rsid w:val="004F0506"/>
    <w:rsid w:val="004F6EF6"/>
    <w:rsid w:val="0050036C"/>
    <w:rsid w:val="005030B2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57300"/>
    <w:rsid w:val="00561CB7"/>
    <w:rsid w:val="00564A6A"/>
    <w:rsid w:val="00595B13"/>
    <w:rsid w:val="005B64A0"/>
    <w:rsid w:val="00610650"/>
    <w:rsid w:val="006150FC"/>
    <w:rsid w:val="00632D1E"/>
    <w:rsid w:val="0063722A"/>
    <w:rsid w:val="00642191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0068D"/>
    <w:rsid w:val="007060FF"/>
    <w:rsid w:val="00713B57"/>
    <w:rsid w:val="0072111E"/>
    <w:rsid w:val="00733833"/>
    <w:rsid w:val="00740E06"/>
    <w:rsid w:val="00740F1F"/>
    <w:rsid w:val="007410F9"/>
    <w:rsid w:val="007414D6"/>
    <w:rsid w:val="007451A9"/>
    <w:rsid w:val="007451D3"/>
    <w:rsid w:val="00763CE4"/>
    <w:rsid w:val="00772CD8"/>
    <w:rsid w:val="00777FC6"/>
    <w:rsid w:val="00780F0B"/>
    <w:rsid w:val="007840AA"/>
    <w:rsid w:val="0079120A"/>
    <w:rsid w:val="00797D2C"/>
    <w:rsid w:val="007A2B65"/>
    <w:rsid w:val="007B2325"/>
    <w:rsid w:val="007B6CE4"/>
    <w:rsid w:val="007C2A85"/>
    <w:rsid w:val="007C4086"/>
    <w:rsid w:val="007E29F7"/>
    <w:rsid w:val="007E7258"/>
    <w:rsid w:val="0080228B"/>
    <w:rsid w:val="00803B21"/>
    <w:rsid w:val="008168D0"/>
    <w:rsid w:val="0081779E"/>
    <w:rsid w:val="008273AA"/>
    <w:rsid w:val="00840BF8"/>
    <w:rsid w:val="008417DC"/>
    <w:rsid w:val="0084199B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9F079E"/>
    <w:rsid w:val="009F1FB1"/>
    <w:rsid w:val="00A04E4C"/>
    <w:rsid w:val="00A2361E"/>
    <w:rsid w:val="00A23A10"/>
    <w:rsid w:val="00A24D5A"/>
    <w:rsid w:val="00A25D50"/>
    <w:rsid w:val="00A27454"/>
    <w:rsid w:val="00A36955"/>
    <w:rsid w:val="00A41325"/>
    <w:rsid w:val="00A5333B"/>
    <w:rsid w:val="00A53F29"/>
    <w:rsid w:val="00A547B5"/>
    <w:rsid w:val="00A618D3"/>
    <w:rsid w:val="00A67C3B"/>
    <w:rsid w:val="00A710C1"/>
    <w:rsid w:val="00A74AA6"/>
    <w:rsid w:val="00A854AA"/>
    <w:rsid w:val="00A86F63"/>
    <w:rsid w:val="00AC7CA3"/>
    <w:rsid w:val="00AD5603"/>
    <w:rsid w:val="00AE049F"/>
    <w:rsid w:val="00AE0BB1"/>
    <w:rsid w:val="00AE2574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93E34"/>
    <w:rsid w:val="00BA19DE"/>
    <w:rsid w:val="00BB10A6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20F8"/>
    <w:rsid w:val="00C967DD"/>
    <w:rsid w:val="00C974AB"/>
    <w:rsid w:val="00CA01E7"/>
    <w:rsid w:val="00CA4472"/>
    <w:rsid w:val="00CC6E36"/>
    <w:rsid w:val="00CE3D91"/>
    <w:rsid w:val="00CE5211"/>
    <w:rsid w:val="00CF5627"/>
    <w:rsid w:val="00D14B74"/>
    <w:rsid w:val="00D17160"/>
    <w:rsid w:val="00D31EDC"/>
    <w:rsid w:val="00D626C3"/>
    <w:rsid w:val="00D66F96"/>
    <w:rsid w:val="00D742E0"/>
    <w:rsid w:val="00D8383C"/>
    <w:rsid w:val="00D86F1A"/>
    <w:rsid w:val="00D91512"/>
    <w:rsid w:val="00DA0ED2"/>
    <w:rsid w:val="00DA12CE"/>
    <w:rsid w:val="00DA58B4"/>
    <w:rsid w:val="00DB0771"/>
    <w:rsid w:val="00DC6813"/>
    <w:rsid w:val="00DD2A3D"/>
    <w:rsid w:val="00DE7244"/>
    <w:rsid w:val="00E11ECB"/>
    <w:rsid w:val="00E33CBD"/>
    <w:rsid w:val="00E4100D"/>
    <w:rsid w:val="00E617AE"/>
    <w:rsid w:val="00E66D6B"/>
    <w:rsid w:val="00E80398"/>
    <w:rsid w:val="00E81144"/>
    <w:rsid w:val="00E93EB9"/>
    <w:rsid w:val="00EC1A2D"/>
    <w:rsid w:val="00ED55FF"/>
    <w:rsid w:val="00EE2F69"/>
    <w:rsid w:val="00EE5E61"/>
    <w:rsid w:val="00F011E8"/>
    <w:rsid w:val="00F06907"/>
    <w:rsid w:val="00F21C61"/>
    <w:rsid w:val="00F22B6C"/>
    <w:rsid w:val="00F31C26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A4E98"/>
    <w:rsid w:val="00FB1FE4"/>
    <w:rsid w:val="00FB6832"/>
    <w:rsid w:val="00FC23F6"/>
    <w:rsid w:val="00FD20C3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AC4B175F-F52F-4530-9367-4F967A2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tekne.it/Servizi/RassegnaLeggi/Recensione_leggi.aspx?IDLegge=23791&amp;Codice_Materia=&amp;testo=&amp;ReLink=Y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Tiziana</cp:lastModifiedBy>
  <cp:revision>6</cp:revision>
  <cp:lastPrinted>2023-12-13T11:29:00Z</cp:lastPrinted>
  <dcterms:created xsi:type="dcterms:W3CDTF">2024-04-10T12:58:00Z</dcterms:created>
  <dcterms:modified xsi:type="dcterms:W3CDTF">2024-04-10T13:55:00Z</dcterms:modified>
</cp:coreProperties>
</file>