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3297" w14:textId="77777777" w:rsidR="0053767A" w:rsidRPr="000307C5" w:rsidRDefault="0053767A" w:rsidP="000307C5">
      <w:pPr>
        <w:jc w:val="center"/>
        <w:rPr>
          <w:rFonts w:ascii="Arial" w:eastAsia="Tahoma" w:hAnsi="Arial" w:cs="Arial"/>
          <w:b/>
          <w:bCs/>
          <w:sz w:val="23"/>
          <w:szCs w:val="23"/>
        </w:rPr>
      </w:pPr>
    </w:p>
    <w:p w14:paraId="3C932F6F" w14:textId="77777777" w:rsidR="000307C5" w:rsidRPr="000307C5" w:rsidRDefault="000307C5" w:rsidP="000307C5">
      <w:pPr>
        <w:pStyle w:val="elementtoproo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0307C5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Comunicato stampa</w:t>
      </w:r>
    </w:p>
    <w:p w14:paraId="13470BD4" w14:textId="77777777" w:rsidR="000307C5" w:rsidRPr="000307C5" w:rsidRDefault="000307C5" w:rsidP="000307C5">
      <w:pPr>
        <w:pStyle w:val="elementtoproof"/>
        <w:jc w:val="center"/>
        <w:rPr>
          <w:sz w:val="23"/>
          <w:szCs w:val="23"/>
        </w:rPr>
      </w:pPr>
    </w:p>
    <w:p w14:paraId="1C66331C" w14:textId="7DD5C62E" w:rsidR="000307C5" w:rsidRPr="000307C5" w:rsidRDefault="000307C5" w:rsidP="000307C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 SUPERBONUS: COMMERCIALISTI, SALVAGUARDARE CHI HA LAVORI IN CORSO</w:t>
      </w:r>
    </w:p>
    <w:p w14:paraId="5DFE19F4" w14:textId="77777777" w:rsidR="000307C5" w:rsidRPr="000307C5" w:rsidRDefault="000307C5" w:rsidP="000307C5">
      <w:pPr>
        <w:pStyle w:val="NormaleWeb"/>
        <w:spacing w:before="0" w:beforeAutospacing="0" w:after="0" w:afterAutospacing="0"/>
        <w:jc w:val="center"/>
        <w:rPr>
          <w:sz w:val="23"/>
          <w:szCs w:val="23"/>
        </w:rPr>
      </w:pPr>
    </w:p>
    <w:p w14:paraId="40626002" w14:textId="77777777" w:rsidR="000307C5" w:rsidRPr="000307C5" w:rsidRDefault="000307C5" w:rsidP="000307C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La categoria in audizione al Senato: “Necessario anche ripristinare la remissione in bonis per chi ha commesso errori nelle comunicazioni”</w:t>
      </w:r>
    </w:p>
    <w:p w14:paraId="60ED1F03" w14:textId="77777777" w:rsidR="000307C5" w:rsidRPr="000307C5" w:rsidRDefault="000307C5" w:rsidP="000307C5">
      <w:pPr>
        <w:pStyle w:val="NormaleWeb"/>
        <w:spacing w:before="0" w:beforeAutospacing="0" w:after="0" w:afterAutospacing="0"/>
        <w:jc w:val="center"/>
        <w:rPr>
          <w:sz w:val="23"/>
          <w:szCs w:val="23"/>
        </w:rPr>
      </w:pPr>
    </w:p>
    <w:p w14:paraId="32E3E0BE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07C5">
        <w:rPr>
          <w:rFonts w:ascii="Arial" w:hAnsi="Arial" w:cs="Arial"/>
          <w:i/>
          <w:iCs/>
          <w:color w:val="000000"/>
          <w:sz w:val="23"/>
          <w:szCs w:val="23"/>
        </w:rPr>
        <w:t>Roma, 10 aprile 2024 –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“Pur comprendendo le esigenze di finanza pubblica sottese al blocco delle opzioni per la cessione del credito e lo sconto in fattura, riteniamo necessario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salvaguardare i contribuenti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 che hanno interventi in corso nonché ripristinare la remissione in bonis per chi ha commesso errori nelle comunicazioni inviate entro lo scorso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4 aprile</w:t>
      </w:r>
      <w:r w:rsidRPr="000307C5">
        <w:rPr>
          <w:rFonts w:ascii="Arial" w:hAnsi="Arial" w:cs="Arial"/>
          <w:color w:val="000000"/>
          <w:sz w:val="23"/>
          <w:szCs w:val="23"/>
        </w:rPr>
        <w:t>”. È la posizione espressa dal Consiglio nazionale dei commercialisti nel corso di un’audizione svoltasi oggi presso la Commissione Finanze e Tesoro del Senato in merito alla conversione in legge del decreto-legge relativo alle agevolazioni fiscali in edilizia.</w:t>
      </w:r>
    </w:p>
    <w:p w14:paraId="37FDB9DA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</w:p>
    <w:p w14:paraId="6B09AC94" w14:textId="40958786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07C5">
        <w:rPr>
          <w:rFonts w:ascii="Arial" w:hAnsi="Arial" w:cs="Arial"/>
          <w:color w:val="000000"/>
          <w:sz w:val="23"/>
          <w:szCs w:val="23"/>
        </w:rPr>
        <w:t xml:space="preserve">La delegazione dei commercialisti, composta dal Consigliere nazionale e tesoriere,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Salvatore Regalbuto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, e dal coordinatore dell’area fiscale della Fondazione nazionale della categoria,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Pasquale Saggese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, ha ribadito quanto già posto all’attenzione del Ministro dell’economia e delle finanze,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Giancarlo Giorgetti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, e del Viceministro,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Maurizio Leo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, in una missiva inviata nei giorni scorsi dal presidente del Consiglio nazionale,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Elbano de Nuccio</w:t>
      </w:r>
      <w:r w:rsidRPr="000307C5">
        <w:rPr>
          <w:rFonts w:ascii="Arial" w:hAnsi="Arial" w:cs="Arial"/>
          <w:color w:val="000000"/>
          <w:sz w:val="23"/>
          <w:szCs w:val="23"/>
        </w:rPr>
        <w:t>.</w:t>
      </w:r>
    </w:p>
    <w:p w14:paraId="09940ECB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</w:p>
    <w:p w14:paraId="2F220489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07C5">
        <w:rPr>
          <w:rFonts w:ascii="Arial" w:hAnsi="Arial" w:cs="Arial"/>
          <w:color w:val="000000"/>
          <w:sz w:val="23"/>
          <w:szCs w:val="23"/>
        </w:rPr>
        <w:t xml:space="preserve">In particolare, è stato proposto che “per coloro che hanno già sottoscritto contratti o abbiano già iniziato i lavori sia possibile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continuare ad accedere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alle opzioni per cessione del credito e sconto in fattura, subordinatamente al rilascio di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attestazion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i che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 xml:space="preserve">certifichino 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la sussistenza di tali presupposti alla data di entrata in vigore del decreto, sottoposte a stringenti sanzioni in caso di falsità”. Ciò al fine, sottolineano i commercialisti, “di evitare che a coloro che hanno fatto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legittimo affidamento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nell’accesso a tali opzioni venga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ingiustificatamente negata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 tale possibilità, con inevitabili conseguenze anche sotto il profilo dei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contenziosi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 che potrebbero sorgere con le imprese appaltatrici”.</w:t>
      </w:r>
    </w:p>
    <w:p w14:paraId="24DAA9CC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</w:p>
    <w:p w14:paraId="044B1F3F" w14:textId="1F16E2F9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07C5">
        <w:rPr>
          <w:rFonts w:ascii="Arial" w:hAnsi="Arial" w:cs="Arial"/>
          <w:color w:val="000000"/>
          <w:sz w:val="23"/>
          <w:szCs w:val="23"/>
        </w:rPr>
        <w:t xml:space="preserve">È stato inoltre proposto il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rispristino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 della possibilità di avvalersi della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remissione in bonis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estendendola a coloro che, non avendo ancora individuato il cessionario del credito d’imposta, vi riescano entro il prossimo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15 ottobre 2024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, termine ultime per accedere alla remissione. “Se l’ampliamento del perimetro della remissione in bonis dovrà essere oggetto di valutazioni tecniche anche in termini di coperture, sicuramente l’accesso all’istituto deve essere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garantito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– ha sottolineato Regalbuto – a coloro che, avendo presentato tempestivamente la comunicazione entro il 4 aprile scorso, si trovino nella necessità di dover correggere errori commessi in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buona fede</w:t>
      </w:r>
      <w:r w:rsidRPr="000307C5">
        <w:rPr>
          <w:rFonts w:ascii="Arial" w:hAnsi="Arial" w:cs="Arial"/>
          <w:color w:val="000000"/>
          <w:sz w:val="23"/>
          <w:szCs w:val="23"/>
        </w:rPr>
        <w:t>”.</w:t>
      </w:r>
    </w:p>
    <w:p w14:paraId="5D47BA3F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sz w:val="23"/>
          <w:szCs w:val="23"/>
        </w:rPr>
      </w:pPr>
    </w:p>
    <w:p w14:paraId="6F5508D7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0307C5">
        <w:rPr>
          <w:rFonts w:ascii="Arial" w:hAnsi="Arial" w:cs="Arial"/>
          <w:color w:val="000000"/>
          <w:sz w:val="23"/>
          <w:szCs w:val="23"/>
        </w:rPr>
        <w:t xml:space="preserve">Tra le ulteriori proposte la possibilità per il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fornitore o il cessionario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di optare per la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rateizzazione in dieci anni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 degli importi delle singole rate annuali che non vengono utilizzate, per “incapienza”, nell’anno di competenza finanziaria, norma peraltro già prevista per le comunicazioni inviate lo scorso anno, e introdurre una serie di norme di interpretazione autentica volte a risolvere dubbi interpretativi suscettibili di generare in futuro ingente contenzioso su questioni essenzialmente formali.</w:t>
      </w:r>
    </w:p>
    <w:p w14:paraId="3B6FFFC2" w14:textId="77777777" w:rsidR="000307C5" w:rsidRPr="000307C5" w:rsidRDefault="000307C5" w:rsidP="000307C5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1BCF5824" w14:textId="4DD5B121" w:rsidR="0074354C" w:rsidRPr="0074354C" w:rsidRDefault="000307C5" w:rsidP="000307C5">
      <w:pPr>
        <w:pStyle w:val="NormaleWeb"/>
        <w:spacing w:before="0" w:beforeAutospacing="0" w:after="0" w:afterAutospacing="0"/>
        <w:jc w:val="both"/>
        <w:rPr>
          <w:rFonts w:ascii="Arial" w:eastAsia="Tahoma" w:hAnsi="Arial" w:cs="Arial"/>
        </w:rPr>
      </w:pPr>
      <w:r w:rsidRPr="000307C5">
        <w:rPr>
          <w:rFonts w:ascii="Arial" w:hAnsi="Arial" w:cs="Arial"/>
          <w:color w:val="000000"/>
          <w:sz w:val="23"/>
          <w:szCs w:val="23"/>
        </w:rPr>
        <w:t xml:space="preserve">Infine, sono state poste all’attenzione della Commissione le criticità connesse alla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preventiva comunicazione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dell’utilizzo dei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crediti d’imposta investimenti</w:t>
      </w:r>
      <w:r w:rsidRPr="000307C5">
        <w:rPr>
          <w:rFonts w:ascii="Arial" w:hAnsi="Arial" w:cs="Arial"/>
          <w:color w:val="000000"/>
          <w:sz w:val="23"/>
          <w:szCs w:val="23"/>
        </w:rPr>
        <w:t xml:space="preserve"> che, in assenza dei provvedimenti attuativi, attualmente inibisce le compensazioni, e quelle relative all’entrata in vigore delle nuove norme in materia di </w:t>
      </w:r>
      <w:r w:rsidRPr="000307C5">
        <w:rPr>
          <w:rFonts w:ascii="Arial" w:hAnsi="Arial" w:cs="Arial"/>
          <w:b/>
          <w:bCs/>
          <w:color w:val="000000"/>
          <w:sz w:val="23"/>
          <w:szCs w:val="23"/>
        </w:rPr>
        <w:t>contraddittorio preventivo</w:t>
      </w:r>
      <w:r w:rsidRPr="000307C5">
        <w:rPr>
          <w:rFonts w:ascii="Arial" w:hAnsi="Arial" w:cs="Arial"/>
          <w:color w:val="000000"/>
          <w:sz w:val="23"/>
          <w:szCs w:val="23"/>
        </w:rPr>
        <w:t>.</w:t>
      </w:r>
    </w:p>
    <w:sectPr w:rsidR="0074354C" w:rsidRPr="0074354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03A2" w14:textId="77777777" w:rsidR="00AA6321" w:rsidRDefault="00AA6321" w:rsidP="0053767A">
      <w:r>
        <w:separator/>
      </w:r>
    </w:p>
  </w:endnote>
  <w:endnote w:type="continuationSeparator" w:id="0">
    <w:p w14:paraId="796F3E39" w14:textId="77777777" w:rsidR="00AA6321" w:rsidRDefault="00AA6321" w:rsidP="0053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E34A" w14:textId="77777777" w:rsidR="00AA6321" w:rsidRDefault="00AA6321" w:rsidP="0053767A">
      <w:r>
        <w:separator/>
      </w:r>
    </w:p>
  </w:footnote>
  <w:footnote w:type="continuationSeparator" w:id="0">
    <w:p w14:paraId="4B378D1A" w14:textId="77777777" w:rsidR="00AA6321" w:rsidRDefault="00AA6321" w:rsidP="0053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CF04" w14:textId="137E3C70" w:rsidR="0053767A" w:rsidRDefault="0053767A" w:rsidP="0053767A">
    <w:pPr>
      <w:pStyle w:val="Intestazione"/>
      <w:jc w:val="center"/>
    </w:pPr>
    <w:r>
      <w:rPr>
        <w:noProof/>
      </w:rPr>
      <w:drawing>
        <wp:inline distT="0" distB="0" distL="0" distR="0" wp14:anchorId="6CE15400" wp14:editId="1B607080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D7"/>
    <w:rsid w:val="000307C5"/>
    <w:rsid w:val="00042944"/>
    <w:rsid w:val="00094E35"/>
    <w:rsid w:val="000D7EE9"/>
    <w:rsid w:val="002873BD"/>
    <w:rsid w:val="002C046C"/>
    <w:rsid w:val="003122B9"/>
    <w:rsid w:val="00370D9B"/>
    <w:rsid w:val="00402D0F"/>
    <w:rsid w:val="0053767A"/>
    <w:rsid w:val="00553922"/>
    <w:rsid w:val="005D2F07"/>
    <w:rsid w:val="00600F24"/>
    <w:rsid w:val="00644491"/>
    <w:rsid w:val="006B3E6A"/>
    <w:rsid w:val="00725CA0"/>
    <w:rsid w:val="0074354C"/>
    <w:rsid w:val="00786132"/>
    <w:rsid w:val="00801280"/>
    <w:rsid w:val="0081776A"/>
    <w:rsid w:val="0082070C"/>
    <w:rsid w:val="0084198B"/>
    <w:rsid w:val="00876A5C"/>
    <w:rsid w:val="008B0AD7"/>
    <w:rsid w:val="008D251E"/>
    <w:rsid w:val="009657C6"/>
    <w:rsid w:val="00977FE6"/>
    <w:rsid w:val="00AA6321"/>
    <w:rsid w:val="00B849E0"/>
    <w:rsid w:val="00E12A7A"/>
    <w:rsid w:val="00E730CE"/>
    <w:rsid w:val="00F27551"/>
    <w:rsid w:val="00FB0E7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167"/>
  <w15:chartTrackingRefBased/>
  <w15:docId w15:val="{E736ABF5-AE2F-45F8-A7AE-AFAF391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A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0AD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D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37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67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B849E0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e"/>
    <w:rsid w:val="00E12A7A"/>
    <w:pPr>
      <w:spacing w:before="100" w:beforeAutospacing="1" w:after="100" w:afterAutospacing="1"/>
    </w:pPr>
    <w:rPr>
      <w:sz w:val="24"/>
      <w:szCs w:val="24"/>
    </w:rPr>
  </w:style>
  <w:style w:type="character" w:customStyle="1" w:styleId="entity">
    <w:name w:val="_entity"/>
    <w:basedOn w:val="Carpredefinitoparagrafo"/>
    <w:rsid w:val="00E12A7A"/>
  </w:style>
  <w:style w:type="character" w:customStyle="1" w:styleId="pu1yl">
    <w:name w:val="pu1yl"/>
    <w:basedOn w:val="Carpredefinitoparagrafo"/>
    <w:rsid w:val="00E12A7A"/>
  </w:style>
  <w:style w:type="paragraph" w:customStyle="1" w:styleId="elementtoproof">
    <w:name w:val="elementtoproof"/>
    <w:basedOn w:val="Normale"/>
    <w:uiPriority w:val="99"/>
    <w:semiHidden/>
    <w:rsid w:val="000307C5"/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14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33228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765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2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2024-04-09T12:29:00Z</dcterms:created>
  <dcterms:modified xsi:type="dcterms:W3CDTF">2024-04-10T12:47:00Z</dcterms:modified>
</cp:coreProperties>
</file>