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0E99B4" w14:textId="77777777" w:rsidR="00173E79" w:rsidRPr="003B576E" w:rsidRDefault="00E9039B" w:rsidP="00B627E4">
      <w:pPr>
        <w:pStyle w:val="Corpotesto"/>
        <w:ind w:left="142"/>
        <w:jc w:val="both"/>
        <w:rPr>
          <w:rFonts w:ascii="Times New Roman"/>
          <w:sz w:val="20"/>
          <w:lang w:val="it-IT"/>
        </w:rPr>
      </w:pPr>
      <w:r w:rsidRPr="003B576E">
        <w:rPr>
          <w:rFonts w:ascii="Times New Roman"/>
          <w:noProof/>
          <w:sz w:val="20"/>
          <w:lang w:val="it-IT"/>
        </w:rPr>
        <w:drawing>
          <wp:inline distT="0" distB="0" distL="0" distR="0" wp14:anchorId="7F029DFD" wp14:editId="2273E03C">
            <wp:extent cx="6117067" cy="96916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17067" cy="969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24BBC5" w14:textId="20203EB1" w:rsidR="00173E79" w:rsidRPr="003B576E" w:rsidRDefault="00E9039B" w:rsidP="00B627E4">
      <w:pPr>
        <w:ind w:left="142"/>
        <w:jc w:val="both"/>
        <w:rPr>
          <w:b/>
          <w:sz w:val="24"/>
          <w:lang w:val="it-IT"/>
        </w:rPr>
      </w:pPr>
      <w:bookmarkStart w:id="0" w:name="_Hlk66295307"/>
      <w:r w:rsidRPr="003B576E">
        <w:rPr>
          <w:b/>
          <w:sz w:val="24"/>
          <w:lang w:val="it-IT"/>
        </w:rPr>
        <w:t>COMUNICATO STAMPA</w:t>
      </w:r>
    </w:p>
    <w:p w14:paraId="42D69F33" w14:textId="77777777" w:rsidR="00571D56" w:rsidRDefault="00571D56" w:rsidP="00B627E4">
      <w:pPr>
        <w:pStyle w:val="NormaleWeb"/>
        <w:shd w:val="clear" w:color="auto" w:fill="FFFFFF"/>
        <w:spacing w:before="0" w:beforeAutospacing="0" w:after="0" w:afterAutospacing="0"/>
        <w:ind w:left="142"/>
        <w:jc w:val="both"/>
        <w:rPr>
          <w:rFonts w:ascii="Calibri" w:hAnsi="Calibri" w:cs="Calibri"/>
          <w:color w:val="201F1E"/>
          <w:sz w:val="22"/>
          <w:szCs w:val="22"/>
        </w:rPr>
      </w:pPr>
      <w:r>
        <w:rPr>
          <w:rFonts w:ascii="Arial" w:hAnsi="Arial" w:cs="Arial"/>
          <w:b/>
          <w:bCs/>
          <w:color w:val="201F1E"/>
          <w:bdr w:val="none" w:sz="0" w:space="0" w:color="auto" w:frame="1"/>
        </w:rPr>
        <w:t> </w:t>
      </w:r>
    </w:p>
    <w:p w14:paraId="28EEBB2C" w14:textId="4A721DAA" w:rsidR="00571D56" w:rsidRPr="0044706E" w:rsidRDefault="00571D56" w:rsidP="00B627E4">
      <w:pPr>
        <w:pStyle w:val="NormaleWeb"/>
        <w:shd w:val="clear" w:color="auto" w:fill="FFFFFF"/>
        <w:spacing w:before="0" w:beforeAutospacing="0" w:after="0" w:afterAutospacing="0"/>
        <w:ind w:left="142"/>
        <w:jc w:val="both"/>
        <w:rPr>
          <w:rFonts w:ascii="Arial" w:hAnsi="Arial" w:cs="Arial"/>
          <w:b/>
          <w:bCs/>
          <w:color w:val="201F1E"/>
          <w:bdr w:val="none" w:sz="0" w:space="0" w:color="auto" w:frame="1"/>
        </w:rPr>
      </w:pPr>
      <w:r w:rsidRPr="0044706E">
        <w:rPr>
          <w:rFonts w:ascii="Arial" w:hAnsi="Arial" w:cs="Arial"/>
          <w:b/>
          <w:bCs/>
          <w:color w:val="201F1E"/>
          <w:bdr w:val="none" w:sz="0" w:space="0" w:color="auto" w:frame="1"/>
        </w:rPr>
        <w:t>SUPERBONUS 110%</w:t>
      </w:r>
      <w:r w:rsidRPr="0044706E">
        <w:rPr>
          <w:rFonts w:ascii="Arial" w:hAnsi="Arial" w:cs="Arial"/>
          <w:color w:val="201F1E"/>
        </w:rPr>
        <w:t xml:space="preserve">, </w:t>
      </w:r>
      <w:r w:rsidRPr="0044706E">
        <w:rPr>
          <w:rFonts w:ascii="Arial" w:hAnsi="Arial" w:cs="Arial"/>
          <w:b/>
          <w:bCs/>
          <w:color w:val="201F1E"/>
          <w:bdr w:val="none" w:sz="0" w:space="0" w:color="auto" w:frame="1"/>
        </w:rPr>
        <w:t>COMMERCIALISTI: “NO A LIMITAZIONI DELLE BANCHE SULLA SCELTA DEL SOGGETTO CHE APPONE IL VISTO DI CONFORMITA’”</w:t>
      </w:r>
    </w:p>
    <w:p w14:paraId="3EA6518D" w14:textId="542734B1" w:rsidR="00571D56" w:rsidRPr="0044706E" w:rsidRDefault="00571D56" w:rsidP="00B627E4">
      <w:pPr>
        <w:pStyle w:val="NormaleWeb"/>
        <w:shd w:val="clear" w:color="auto" w:fill="FFFFFF"/>
        <w:spacing w:before="0" w:beforeAutospacing="0" w:after="0" w:afterAutospacing="0"/>
        <w:ind w:left="142"/>
        <w:jc w:val="both"/>
        <w:rPr>
          <w:rFonts w:ascii="Arial" w:hAnsi="Arial" w:cs="Arial"/>
          <w:b/>
          <w:bCs/>
          <w:color w:val="201F1E"/>
        </w:rPr>
      </w:pPr>
      <w:r w:rsidRPr="0044706E">
        <w:rPr>
          <w:rFonts w:ascii="Arial" w:hAnsi="Arial" w:cs="Arial"/>
          <w:b/>
          <w:bCs/>
          <w:color w:val="201F1E"/>
          <w:bdr w:val="none" w:sz="0" w:space="0" w:color="auto" w:frame="1"/>
        </w:rPr>
        <w:t>Miani: “Rispett</w:t>
      </w:r>
      <w:r w:rsidR="0044706E" w:rsidRPr="0044706E">
        <w:rPr>
          <w:rFonts w:ascii="Arial" w:hAnsi="Arial" w:cs="Arial"/>
          <w:b/>
          <w:bCs/>
          <w:color w:val="201F1E"/>
          <w:bdr w:val="none" w:sz="0" w:space="0" w:color="auto" w:frame="1"/>
        </w:rPr>
        <w:t xml:space="preserve">are </w:t>
      </w:r>
      <w:r w:rsidRPr="0044706E">
        <w:rPr>
          <w:rFonts w:ascii="Arial" w:hAnsi="Arial" w:cs="Arial"/>
          <w:b/>
          <w:bCs/>
          <w:color w:val="201F1E"/>
          <w:bdr w:val="none" w:sz="0" w:space="0" w:color="auto" w:frame="1"/>
        </w:rPr>
        <w:t xml:space="preserve">la libera scelta da parte del cliente </w:t>
      </w:r>
      <w:r w:rsidR="0044706E" w:rsidRPr="0044706E">
        <w:rPr>
          <w:rFonts w:ascii="Arial" w:hAnsi="Arial" w:cs="Arial"/>
          <w:b/>
          <w:bCs/>
          <w:color w:val="201F1E"/>
          <w:bdr w:val="none" w:sz="0" w:space="0" w:color="auto" w:frame="1"/>
        </w:rPr>
        <w:t>ed evitare il rischio di abuso di posizione dominante e violazione della concorrenza”</w:t>
      </w:r>
    </w:p>
    <w:p w14:paraId="0D9368E4" w14:textId="77777777" w:rsidR="00571D56" w:rsidRPr="0044706E" w:rsidRDefault="00571D56" w:rsidP="00B627E4">
      <w:pPr>
        <w:pStyle w:val="NormaleWeb"/>
        <w:shd w:val="clear" w:color="auto" w:fill="FFFFFF"/>
        <w:spacing w:before="0" w:beforeAutospacing="0" w:after="0" w:afterAutospacing="0"/>
        <w:ind w:left="142"/>
        <w:jc w:val="both"/>
        <w:rPr>
          <w:rFonts w:ascii="Calibri" w:hAnsi="Calibri" w:cs="Calibri"/>
          <w:color w:val="201F1E"/>
        </w:rPr>
      </w:pPr>
      <w:r w:rsidRPr="0044706E">
        <w:rPr>
          <w:rFonts w:ascii="Arial" w:hAnsi="Arial" w:cs="Arial"/>
          <w:b/>
          <w:bCs/>
          <w:color w:val="201F1E"/>
          <w:bdr w:val="none" w:sz="0" w:space="0" w:color="auto" w:frame="1"/>
        </w:rPr>
        <w:t> </w:t>
      </w:r>
    </w:p>
    <w:p w14:paraId="6B2B9E0F" w14:textId="0B872C6E" w:rsidR="00571D56" w:rsidRPr="0044706E" w:rsidRDefault="00571D56" w:rsidP="00B627E4">
      <w:pPr>
        <w:pStyle w:val="NormaleWeb"/>
        <w:shd w:val="clear" w:color="auto" w:fill="FFFFFF"/>
        <w:spacing w:before="0" w:beforeAutospacing="0" w:after="0" w:afterAutospacing="0"/>
        <w:ind w:left="142"/>
        <w:jc w:val="both"/>
        <w:rPr>
          <w:rFonts w:ascii="Arial" w:hAnsi="Arial" w:cs="Arial"/>
          <w:color w:val="201F1E"/>
          <w:bdr w:val="none" w:sz="0" w:space="0" w:color="auto" w:frame="1"/>
        </w:rPr>
      </w:pPr>
      <w:r w:rsidRPr="0044706E">
        <w:rPr>
          <w:rFonts w:ascii="Arial" w:hAnsi="Arial" w:cs="Arial"/>
          <w:i/>
          <w:iCs/>
          <w:color w:val="201F1E"/>
          <w:bdr w:val="none" w:sz="0" w:space="0" w:color="auto" w:frame="1"/>
        </w:rPr>
        <w:t>Roma</w:t>
      </w:r>
      <w:r w:rsidR="00B627E4">
        <w:rPr>
          <w:rFonts w:ascii="Arial" w:hAnsi="Arial" w:cs="Arial"/>
          <w:i/>
          <w:iCs/>
          <w:color w:val="201F1E"/>
          <w:bdr w:val="none" w:sz="0" w:space="0" w:color="auto" w:frame="1"/>
        </w:rPr>
        <w:t>,</w:t>
      </w:r>
      <w:r w:rsidRPr="0044706E">
        <w:rPr>
          <w:rFonts w:ascii="Arial" w:hAnsi="Arial" w:cs="Arial"/>
          <w:i/>
          <w:iCs/>
          <w:color w:val="201F1E"/>
          <w:bdr w:val="none" w:sz="0" w:space="0" w:color="auto" w:frame="1"/>
        </w:rPr>
        <w:t xml:space="preserve"> 10 marzo 2021</w:t>
      </w:r>
      <w:r w:rsidRPr="0044706E">
        <w:rPr>
          <w:rFonts w:ascii="Arial" w:hAnsi="Arial" w:cs="Arial"/>
          <w:color w:val="201F1E"/>
          <w:bdr w:val="none" w:sz="0" w:space="0" w:color="auto" w:frame="1"/>
        </w:rPr>
        <w:t> –</w:t>
      </w:r>
      <w:r w:rsidRPr="0044706E">
        <w:rPr>
          <w:rFonts w:ascii="Arial" w:hAnsi="Arial" w:cs="Arial"/>
          <w:b/>
          <w:bCs/>
          <w:color w:val="201F1E"/>
          <w:bdr w:val="none" w:sz="0" w:space="0" w:color="auto" w:frame="1"/>
        </w:rPr>
        <w:t> </w:t>
      </w:r>
      <w:r w:rsidRPr="0044706E">
        <w:rPr>
          <w:rFonts w:ascii="Arial" w:hAnsi="Arial" w:cs="Arial"/>
          <w:color w:val="201F1E"/>
          <w:bdr w:val="none" w:sz="0" w:space="0" w:color="auto" w:frame="1"/>
        </w:rPr>
        <w:t>Nell’ambito delle misure tese a favorire gli interventi di efficientamento energetico e di miglioramento sismico</w:t>
      </w:r>
      <w:r w:rsidR="00B627E4">
        <w:rPr>
          <w:rFonts w:ascii="Arial" w:hAnsi="Arial" w:cs="Arial"/>
          <w:color w:val="201F1E"/>
          <w:bdr w:val="none" w:sz="0" w:space="0" w:color="auto" w:frame="1"/>
        </w:rPr>
        <w:t>,</w:t>
      </w:r>
      <w:r w:rsidRPr="0044706E">
        <w:rPr>
          <w:rFonts w:ascii="Arial" w:hAnsi="Arial" w:cs="Arial"/>
          <w:color w:val="0D1D3B"/>
          <w:bdr w:val="none" w:sz="0" w:space="0" w:color="auto" w:frame="1"/>
        </w:rPr>
        <w:t> </w:t>
      </w:r>
      <w:r w:rsidRPr="0044706E">
        <w:rPr>
          <w:rFonts w:ascii="Arial" w:hAnsi="Arial" w:cs="Arial"/>
          <w:color w:val="201F1E"/>
          <w:bdr w:val="none" w:sz="0" w:space="0" w:color="auto" w:frame="1"/>
        </w:rPr>
        <w:t xml:space="preserve">i Commercialisti stanno svolgendo in questi mesi </w:t>
      </w:r>
      <w:r w:rsidRPr="0044706E">
        <w:rPr>
          <w:rFonts w:ascii="Arial" w:hAnsi="Arial" w:cs="Arial"/>
          <w:b/>
          <w:bCs/>
          <w:color w:val="201F1E"/>
          <w:bdr w:val="none" w:sz="0" w:space="0" w:color="auto" w:frame="1"/>
        </w:rPr>
        <w:t>tutte le attività richieste dai propri clienti</w:t>
      </w:r>
      <w:r w:rsidRPr="0044706E">
        <w:rPr>
          <w:rFonts w:ascii="Arial" w:hAnsi="Arial" w:cs="Arial"/>
          <w:color w:val="201F1E"/>
          <w:bdr w:val="none" w:sz="0" w:space="0" w:color="auto" w:frame="1"/>
        </w:rPr>
        <w:t xml:space="preserve"> anche in relazione al cosiddetto </w:t>
      </w:r>
      <w:r w:rsidRPr="0044706E">
        <w:rPr>
          <w:rFonts w:ascii="Arial" w:hAnsi="Arial" w:cs="Arial"/>
          <w:b/>
          <w:bCs/>
          <w:color w:val="201F1E"/>
          <w:bdr w:val="none" w:sz="0" w:space="0" w:color="auto" w:frame="1"/>
        </w:rPr>
        <w:t>Superbonus 110%</w:t>
      </w:r>
      <w:r w:rsidRPr="0044706E">
        <w:rPr>
          <w:rFonts w:ascii="Arial" w:hAnsi="Arial" w:cs="Arial"/>
          <w:color w:val="201F1E"/>
          <w:bdr w:val="none" w:sz="0" w:space="0" w:color="auto" w:frame="1"/>
        </w:rPr>
        <w:t xml:space="preserve"> e al rilascio del relativo </w:t>
      </w:r>
      <w:r w:rsidRPr="0044706E">
        <w:rPr>
          <w:rFonts w:ascii="Arial" w:hAnsi="Arial" w:cs="Arial"/>
          <w:b/>
          <w:bCs/>
          <w:color w:val="201F1E"/>
          <w:bdr w:val="none" w:sz="0" w:space="0" w:color="auto" w:frame="1"/>
        </w:rPr>
        <w:t>visto di conformità</w:t>
      </w:r>
      <w:r w:rsidRPr="0044706E">
        <w:rPr>
          <w:rFonts w:ascii="Arial" w:hAnsi="Arial" w:cs="Arial"/>
          <w:color w:val="201F1E"/>
          <w:bdr w:val="none" w:sz="0" w:space="0" w:color="auto" w:frame="1"/>
        </w:rPr>
        <w:t>.</w:t>
      </w:r>
    </w:p>
    <w:p w14:paraId="64E3BB08" w14:textId="77777777" w:rsidR="00571D56" w:rsidRPr="0044706E" w:rsidRDefault="00571D56" w:rsidP="00B627E4">
      <w:pPr>
        <w:pStyle w:val="NormaleWeb"/>
        <w:shd w:val="clear" w:color="auto" w:fill="FFFFFF"/>
        <w:spacing w:before="0" w:beforeAutospacing="0" w:after="0" w:afterAutospacing="0"/>
        <w:ind w:left="142"/>
        <w:jc w:val="both"/>
        <w:rPr>
          <w:rFonts w:ascii="Calibri" w:hAnsi="Calibri" w:cs="Calibri"/>
          <w:color w:val="201F1E"/>
        </w:rPr>
      </w:pPr>
    </w:p>
    <w:p w14:paraId="035B9E3D" w14:textId="6A8B3632" w:rsidR="00571D56" w:rsidRPr="0044706E" w:rsidRDefault="00571D56" w:rsidP="00B627E4">
      <w:pPr>
        <w:pStyle w:val="NormaleWeb"/>
        <w:shd w:val="clear" w:color="auto" w:fill="FFFFFF"/>
        <w:spacing w:before="0" w:beforeAutospacing="0" w:after="0" w:afterAutospacing="0"/>
        <w:ind w:left="142"/>
        <w:jc w:val="both"/>
        <w:rPr>
          <w:rFonts w:ascii="Arial" w:hAnsi="Arial" w:cs="Arial"/>
          <w:color w:val="201F1E"/>
          <w:bdr w:val="none" w:sz="0" w:space="0" w:color="auto" w:frame="1"/>
        </w:rPr>
      </w:pPr>
      <w:r w:rsidRPr="0044706E">
        <w:rPr>
          <w:rFonts w:ascii="Arial" w:hAnsi="Arial" w:cs="Arial"/>
          <w:color w:val="201F1E"/>
          <w:bdr w:val="none" w:sz="0" w:space="0" w:color="auto" w:frame="1"/>
        </w:rPr>
        <w:t xml:space="preserve">“Già con il documento di ricerca del 26 novembre 2020 – afferma Massimo Miani, Presidente del Consiglio Nazionale dei Dottori Commercialisti e degli Esperti Contabili – abbiamo fornito ai nostri iscritti un </w:t>
      </w:r>
      <w:r w:rsidRPr="0044706E">
        <w:rPr>
          <w:rFonts w:ascii="Arial" w:hAnsi="Arial" w:cs="Arial"/>
          <w:b/>
          <w:bCs/>
          <w:color w:val="201F1E"/>
          <w:bdr w:val="none" w:sz="0" w:space="0" w:color="auto" w:frame="1"/>
        </w:rPr>
        <w:t>quadro d’insieme dei controlli</w:t>
      </w:r>
      <w:r w:rsidRPr="0044706E">
        <w:rPr>
          <w:rFonts w:ascii="Arial" w:hAnsi="Arial" w:cs="Arial"/>
          <w:color w:val="201F1E"/>
          <w:bdr w:val="none" w:sz="0" w:space="0" w:color="auto" w:frame="1"/>
        </w:rPr>
        <w:t xml:space="preserve"> che devono essere effettuati ai fini dell’apposizione del visto di conformità sull’apposita </w:t>
      </w:r>
      <w:r w:rsidRPr="0044706E">
        <w:rPr>
          <w:rFonts w:ascii="Arial" w:hAnsi="Arial" w:cs="Arial"/>
          <w:b/>
          <w:bCs/>
          <w:color w:val="201F1E"/>
          <w:bdr w:val="none" w:sz="0" w:space="0" w:color="auto" w:frame="1"/>
        </w:rPr>
        <w:t>comunicazione</w:t>
      </w:r>
      <w:r w:rsidRPr="0044706E">
        <w:rPr>
          <w:rFonts w:ascii="Arial" w:hAnsi="Arial" w:cs="Arial"/>
          <w:color w:val="201F1E"/>
          <w:bdr w:val="none" w:sz="0" w:space="0" w:color="auto" w:frame="1"/>
        </w:rPr>
        <w:t xml:space="preserve"> da inoltrare all’Agenzia delle Entrate per attestare la sussistenza dei presupposti che danno diritto alla </w:t>
      </w:r>
      <w:r w:rsidRPr="0044706E">
        <w:rPr>
          <w:rFonts w:ascii="Arial" w:hAnsi="Arial" w:cs="Arial"/>
          <w:b/>
          <w:bCs/>
          <w:color w:val="201F1E"/>
          <w:bdr w:val="none" w:sz="0" w:space="0" w:color="auto" w:frame="1"/>
        </w:rPr>
        <w:t>detrazione d’imposta</w:t>
      </w:r>
      <w:r w:rsidRPr="0044706E">
        <w:rPr>
          <w:rFonts w:ascii="Arial" w:hAnsi="Arial" w:cs="Arial"/>
          <w:color w:val="201F1E"/>
          <w:bdr w:val="none" w:sz="0" w:space="0" w:color="auto" w:frame="1"/>
        </w:rPr>
        <w:t xml:space="preserve">, nei casi di opzione per la cessione del credito d’imposta o per lo sconto in fattura. Il tutto completato da apposite </w:t>
      </w:r>
      <w:r w:rsidRPr="0044706E">
        <w:rPr>
          <w:rFonts w:ascii="Arial" w:hAnsi="Arial" w:cs="Arial"/>
          <w:b/>
          <w:bCs/>
          <w:color w:val="201F1E"/>
          <w:bdr w:val="none" w:sz="0" w:space="0" w:color="auto" w:frame="1"/>
        </w:rPr>
        <w:t>check list</w:t>
      </w:r>
      <w:r w:rsidRPr="0044706E">
        <w:rPr>
          <w:rFonts w:ascii="Arial" w:hAnsi="Arial" w:cs="Arial"/>
          <w:color w:val="201F1E"/>
          <w:bdr w:val="none" w:sz="0" w:space="0" w:color="auto" w:frame="1"/>
        </w:rPr>
        <w:t xml:space="preserve"> che descrivono nel dettaglio le attività da effettuare a tal fine”.</w:t>
      </w:r>
    </w:p>
    <w:p w14:paraId="672CC367" w14:textId="77777777" w:rsidR="00571D56" w:rsidRPr="0044706E" w:rsidRDefault="00571D56" w:rsidP="00B627E4">
      <w:pPr>
        <w:pStyle w:val="NormaleWeb"/>
        <w:shd w:val="clear" w:color="auto" w:fill="FFFFFF"/>
        <w:spacing w:before="0" w:beforeAutospacing="0" w:after="0" w:afterAutospacing="0"/>
        <w:ind w:left="142"/>
        <w:jc w:val="both"/>
        <w:rPr>
          <w:rFonts w:ascii="Calibri" w:hAnsi="Calibri" w:cs="Calibri"/>
          <w:color w:val="201F1E"/>
        </w:rPr>
      </w:pPr>
    </w:p>
    <w:p w14:paraId="6CD23624" w14:textId="25E9846B" w:rsidR="00571D56" w:rsidRPr="0044706E" w:rsidRDefault="00571D56" w:rsidP="00B627E4">
      <w:pPr>
        <w:pStyle w:val="NormaleWeb"/>
        <w:shd w:val="clear" w:color="auto" w:fill="FFFFFF"/>
        <w:spacing w:before="0" w:beforeAutospacing="0" w:after="0" w:afterAutospacing="0"/>
        <w:ind w:left="142"/>
        <w:jc w:val="both"/>
        <w:rPr>
          <w:rFonts w:ascii="Arial" w:hAnsi="Arial" w:cs="Arial"/>
          <w:color w:val="201F1E"/>
          <w:bdr w:val="none" w:sz="0" w:space="0" w:color="auto" w:frame="1"/>
        </w:rPr>
      </w:pPr>
      <w:r w:rsidRPr="0044706E">
        <w:rPr>
          <w:rFonts w:ascii="Arial" w:hAnsi="Arial" w:cs="Arial"/>
          <w:color w:val="201F1E"/>
          <w:bdr w:val="none" w:sz="0" w:space="0" w:color="auto" w:frame="1"/>
        </w:rPr>
        <w:t xml:space="preserve">“In questo contesto – prosegue Miani </w:t>
      </w:r>
      <w:r w:rsidR="00B627E4">
        <w:rPr>
          <w:rFonts w:ascii="Arial" w:hAnsi="Arial" w:cs="Arial"/>
          <w:color w:val="201F1E"/>
          <w:bdr w:val="none" w:sz="0" w:space="0" w:color="auto" w:frame="1"/>
        </w:rPr>
        <w:t>–</w:t>
      </w:r>
      <w:r w:rsidRPr="0044706E">
        <w:rPr>
          <w:rFonts w:ascii="Arial" w:hAnsi="Arial" w:cs="Arial"/>
          <w:color w:val="201F1E"/>
          <w:bdr w:val="none" w:sz="0" w:space="0" w:color="auto" w:frame="1"/>
        </w:rPr>
        <w:t xml:space="preserve"> è evidente che le </w:t>
      </w:r>
      <w:r w:rsidRPr="0044706E">
        <w:rPr>
          <w:rFonts w:ascii="Arial" w:hAnsi="Arial" w:cs="Arial"/>
          <w:b/>
          <w:bCs/>
          <w:color w:val="201F1E"/>
          <w:bdr w:val="none" w:sz="0" w:space="0" w:color="auto" w:frame="1"/>
        </w:rPr>
        <w:t>banche</w:t>
      </w:r>
      <w:r w:rsidRPr="0044706E">
        <w:rPr>
          <w:rFonts w:ascii="Arial" w:hAnsi="Arial" w:cs="Arial"/>
          <w:color w:val="201F1E"/>
          <w:bdr w:val="none" w:sz="0" w:space="0" w:color="auto" w:frame="1"/>
        </w:rPr>
        <w:t xml:space="preserve"> che offrono servizi di acquisto del credito di imposta, ovvero di prefinanziamento dei relativi lavori, </w:t>
      </w:r>
      <w:r w:rsidRPr="0044706E">
        <w:rPr>
          <w:rFonts w:ascii="Arial" w:hAnsi="Arial" w:cs="Arial"/>
          <w:b/>
          <w:bCs/>
          <w:color w:val="201F1E"/>
          <w:bdr w:val="none" w:sz="0" w:space="0" w:color="auto" w:frame="1"/>
        </w:rPr>
        <w:t>non possono porre limitazioni</w:t>
      </w:r>
      <w:r w:rsidRPr="0044706E">
        <w:rPr>
          <w:rFonts w:ascii="Arial" w:hAnsi="Arial" w:cs="Arial"/>
          <w:color w:val="201F1E"/>
          <w:bdr w:val="none" w:sz="0" w:space="0" w:color="auto" w:frame="1"/>
        </w:rPr>
        <w:t xml:space="preserve"> ulteriori rispetto a quelle previste dalla legge in merito alla </w:t>
      </w:r>
      <w:r w:rsidRPr="0044706E">
        <w:rPr>
          <w:rFonts w:ascii="Arial" w:hAnsi="Arial" w:cs="Arial"/>
          <w:b/>
          <w:bCs/>
          <w:color w:val="201F1E"/>
          <w:bdr w:val="none" w:sz="0" w:space="0" w:color="auto" w:frame="1"/>
        </w:rPr>
        <w:t>libera scelta</w:t>
      </w:r>
      <w:r w:rsidRPr="0044706E">
        <w:rPr>
          <w:rFonts w:ascii="Arial" w:hAnsi="Arial" w:cs="Arial"/>
          <w:color w:val="201F1E"/>
          <w:bdr w:val="none" w:sz="0" w:space="0" w:color="auto" w:frame="1"/>
        </w:rPr>
        <w:t xml:space="preserve"> da parte del </w:t>
      </w:r>
      <w:r w:rsidRPr="0044706E">
        <w:rPr>
          <w:rFonts w:ascii="Arial" w:hAnsi="Arial" w:cs="Arial"/>
          <w:b/>
          <w:bCs/>
          <w:color w:val="201F1E"/>
          <w:bdr w:val="none" w:sz="0" w:space="0" w:color="auto" w:frame="1"/>
        </w:rPr>
        <w:t>cliente</w:t>
      </w:r>
      <w:r w:rsidRPr="0044706E">
        <w:rPr>
          <w:rFonts w:ascii="Arial" w:hAnsi="Arial" w:cs="Arial"/>
          <w:color w:val="201F1E"/>
          <w:bdr w:val="none" w:sz="0" w:space="0" w:color="auto" w:frame="1"/>
        </w:rPr>
        <w:t xml:space="preserve"> del soggetto che andrà ad apporre il visto di conformità. In particolare, le convenzioni sottoscritte da alcune banche nazionali per l’affidamento del servizio in parola a </w:t>
      </w:r>
      <w:r w:rsidRPr="0044706E">
        <w:rPr>
          <w:rFonts w:ascii="Arial" w:hAnsi="Arial" w:cs="Arial"/>
          <w:b/>
          <w:bCs/>
          <w:color w:val="201F1E"/>
          <w:bdr w:val="none" w:sz="0" w:space="0" w:color="auto" w:frame="1"/>
        </w:rPr>
        <w:t>singole società di revisione</w:t>
      </w:r>
      <w:r w:rsidRPr="0044706E">
        <w:rPr>
          <w:rFonts w:ascii="Arial" w:hAnsi="Arial" w:cs="Arial"/>
          <w:color w:val="201F1E"/>
          <w:bdr w:val="none" w:sz="0" w:space="0" w:color="auto" w:frame="1"/>
        </w:rPr>
        <w:t xml:space="preserve"> non possono che avere una </w:t>
      </w:r>
      <w:r w:rsidRPr="0044706E">
        <w:rPr>
          <w:rFonts w:ascii="Arial" w:hAnsi="Arial" w:cs="Arial"/>
          <w:b/>
          <w:bCs/>
          <w:color w:val="201F1E"/>
          <w:bdr w:val="none" w:sz="0" w:space="0" w:color="auto" w:frame="1"/>
        </w:rPr>
        <w:t>valenza facoltativa</w:t>
      </w:r>
      <w:r w:rsidRPr="0044706E">
        <w:rPr>
          <w:rFonts w:ascii="Arial" w:hAnsi="Arial" w:cs="Arial"/>
          <w:color w:val="201F1E"/>
          <w:bdr w:val="none" w:sz="0" w:space="0" w:color="auto" w:frame="1"/>
        </w:rPr>
        <w:t xml:space="preserve"> per il cliente, anche in considerazione delle tematiche di </w:t>
      </w:r>
      <w:r w:rsidRPr="0044706E">
        <w:rPr>
          <w:rFonts w:ascii="Arial" w:hAnsi="Arial" w:cs="Arial"/>
          <w:b/>
          <w:bCs/>
          <w:color w:val="201F1E"/>
          <w:bdr w:val="none" w:sz="0" w:space="0" w:color="auto" w:frame="1"/>
        </w:rPr>
        <w:t>abuso di posizione dominante</w:t>
      </w:r>
      <w:r w:rsidRPr="0044706E">
        <w:rPr>
          <w:rFonts w:ascii="Arial" w:hAnsi="Arial" w:cs="Arial"/>
          <w:color w:val="201F1E"/>
          <w:bdr w:val="none" w:sz="0" w:space="0" w:color="auto" w:frame="1"/>
        </w:rPr>
        <w:t xml:space="preserve"> e </w:t>
      </w:r>
      <w:r w:rsidRPr="0044706E">
        <w:rPr>
          <w:rFonts w:ascii="Arial" w:hAnsi="Arial" w:cs="Arial"/>
          <w:b/>
          <w:bCs/>
          <w:color w:val="201F1E"/>
          <w:bdr w:val="none" w:sz="0" w:space="0" w:color="auto" w:frame="1"/>
        </w:rPr>
        <w:t>violazione della concorrenza</w:t>
      </w:r>
      <w:r w:rsidRPr="0044706E">
        <w:rPr>
          <w:rFonts w:ascii="Arial" w:hAnsi="Arial" w:cs="Arial"/>
          <w:color w:val="201F1E"/>
          <w:bdr w:val="none" w:sz="0" w:space="0" w:color="auto" w:frame="1"/>
        </w:rPr>
        <w:t>”.</w:t>
      </w:r>
    </w:p>
    <w:p w14:paraId="35CD4D6E" w14:textId="77777777" w:rsidR="00571D56" w:rsidRPr="0044706E" w:rsidRDefault="00571D56" w:rsidP="00B627E4">
      <w:pPr>
        <w:pStyle w:val="NormaleWeb"/>
        <w:shd w:val="clear" w:color="auto" w:fill="FFFFFF"/>
        <w:spacing w:before="0" w:beforeAutospacing="0" w:after="0" w:afterAutospacing="0"/>
        <w:ind w:left="142"/>
        <w:jc w:val="both"/>
        <w:rPr>
          <w:rFonts w:ascii="Calibri" w:hAnsi="Calibri" w:cs="Calibri"/>
          <w:color w:val="201F1E"/>
        </w:rPr>
      </w:pPr>
    </w:p>
    <w:p w14:paraId="5773F4D1" w14:textId="40CB9BD1" w:rsidR="00571D56" w:rsidRPr="0044706E" w:rsidRDefault="00571D56" w:rsidP="00B627E4">
      <w:pPr>
        <w:pStyle w:val="NormaleWeb"/>
        <w:shd w:val="clear" w:color="auto" w:fill="FFFFFF"/>
        <w:spacing w:before="0" w:beforeAutospacing="0" w:after="0" w:afterAutospacing="0"/>
        <w:ind w:left="142"/>
        <w:jc w:val="both"/>
        <w:rPr>
          <w:rFonts w:ascii="Calibri" w:hAnsi="Calibri" w:cs="Calibri"/>
          <w:color w:val="201F1E"/>
        </w:rPr>
      </w:pPr>
      <w:r w:rsidRPr="0044706E">
        <w:rPr>
          <w:rFonts w:ascii="Arial" w:hAnsi="Arial" w:cs="Arial"/>
          <w:color w:val="201F1E"/>
          <w:bdr w:val="none" w:sz="0" w:space="0" w:color="auto" w:frame="1"/>
        </w:rPr>
        <w:t xml:space="preserve">“Non abbiamo dubbi che le singole banche tengano in </w:t>
      </w:r>
      <w:r w:rsidRPr="0044706E">
        <w:rPr>
          <w:rFonts w:ascii="Arial" w:hAnsi="Arial" w:cs="Arial"/>
          <w:b/>
          <w:bCs/>
          <w:color w:val="201F1E"/>
          <w:bdr w:val="none" w:sz="0" w:space="0" w:color="auto" w:frame="1"/>
        </w:rPr>
        <w:t>debita considerazione</w:t>
      </w:r>
      <w:r w:rsidRPr="0044706E">
        <w:rPr>
          <w:rFonts w:ascii="Arial" w:hAnsi="Arial" w:cs="Arial"/>
          <w:color w:val="201F1E"/>
          <w:bdr w:val="none" w:sz="0" w:space="0" w:color="auto" w:frame="1"/>
        </w:rPr>
        <w:t xml:space="preserve"> tali principi – conclude il presidente Miani – e auspichiamo che le misure agevolative in parola possano trovar attuazione al massimo delle loro possibilità con il </w:t>
      </w:r>
      <w:r w:rsidRPr="0044706E">
        <w:rPr>
          <w:rFonts w:ascii="Arial" w:hAnsi="Arial" w:cs="Arial"/>
          <w:b/>
          <w:bCs/>
          <w:color w:val="201F1E"/>
          <w:bdr w:val="none" w:sz="0" w:space="0" w:color="auto" w:frame="1"/>
        </w:rPr>
        <w:t>contributo attivo dei commercialisti</w:t>
      </w:r>
      <w:r w:rsidRPr="0044706E">
        <w:rPr>
          <w:rFonts w:ascii="Arial" w:hAnsi="Arial" w:cs="Arial"/>
          <w:color w:val="201F1E"/>
          <w:bdr w:val="none" w:sz="0" w:space="0" w:color="auto" w:frame="1"/>
        </w:rPr>
        <w:t xml:space="preserve"> e degli altri soggetti interessati, ciascuno nel proprio ruolo e per gli </w:t>
      </w:r>
      <w:r w:rsidRPr="0044706E">
        <w:rPr>
          <w:rFonts w:ascii="Arial" w:hAnsi="Arial" w:cs="Arial"/>
          <w:b/>
          <w:bCs/>
          <w:color w:val="201F1E"/>
          <w:bdr w:val="none" w:sz="0" w:space="0" w:color="auto" w:frame="1"/>
        </w:rPr>
        <w:t>incarichi liberamente affidati</w:t>
      </w:r>
      <w:r w:rsidRPr="0044706E">
        <w:rPr>
          <w:rFonts w:ascii="Arial" w:hAnsi="Arial" w:cs="Arial"/>
          <w:color w:val="201F1E"/>
          <w:bdr w:val="none" w:sz="0" w:space="0" w:color="auto" w:frame="1"/>
        </w:rPr>
        <w:t xml:space="preserve"> dai propri clienti”.</w:t>
      </w:r>
    </w:p>
    <w:bookmarkEnd w:id="0"/>
    <w:p w14:paraId="750FECF6" w14:textId="546E3C95" w:rsidR="00173E79" w:rsidRPr="0044706E" w:rsidRDefault="00173E79" w:rsidP="00B627E4">
      <w:pPr>
        <w:pStyle w:val="Corpotesto"/>
        <w:ind w:left="142" w:right="131"/>
        <w:jc w:val="both"/>
        <w:rPr>
          <w:lang w:val="it-IT"/>
        </w:rPr>
      </w:pPr>
    </w:p>
    <w:sectPr w:rsidR="00173E79" w:rsidRPr="0044706E">
      <w:type w:val="continuous"/>
      <w:pgSz w:w="11910" w:h="16840"/>
      <w:pgMar w:top="700" w:right="10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E79"/>
    <w:rsid w:val="00173E79"/>
    <w:rsid w:val="00220B46"/>
    <w:rsid w:val="00353997"/>
    <w:rsid w:val="003B576E"/>
    <w:rsid w:val="0044706E"/>
    <w:rsid w:val="00571D56"/>
    <w:rsid w:val="00985198"/>
    <w:rsid w:val="00B627E4"/>
    <w:rsid w:val="00E90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07B11"/>
  <w15:docId w15:val="{30AF4830-6A91-48D6-AAF3-F1483EC1B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" w:eastAsia="Arial" w:hAnsi="Arial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NormaleWeb">
    <w:name w:val="Normal (Web)"/>
    <w:basedOn w:val="Normale"/>
    <w:uiPriority w:val="99"/>
    <w:semiHidden/>
    <w:unhideWhenUsed/>
    <w:rsid w:val="00571D5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88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EA7D16-0619-453E-8D38-707C16E52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Mastrogiacomo Tiziana</dc:creator>
  <cp:lastModifiedBy>Mastrogiacomo Tiziana</cp:lastModifiedBy>
  <cp:revision>5</cp:revision>
  <dcterms:created xsi:type="dcterms:W3CDTF">2021-03-10T11:31:00Z</dcterms:created>
  <dcterms:modified xsi:type="dcterms:W3CDTF">2021-03-10T18:01:00Z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2021-03-09T00:00:00Z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2021-03-09T00:00:00Z</vt:filetime>
  </property>
</Properties>
</file>