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EF5" w:rsidRDefault="00E94EF5" w:rsidP="001611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D3040" w:rsidRPr="00E94EF5" w:rsidRDefault="00DD3040" w:rsidP="001611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4EF5">
        <w:rPr>
          <w:rFonts w:ascii="Arial" w:hAnsi="Arial" w:cs="Arial"/>
          <w:b/>
          <w:bCs/>
          <w:sz w:val="24"/>
          <w:szCs w:val="24"/>
        </w:rPr>
        <w:t>Comunicato stampa</w:t>
      </w:r>
    </w:p>
    <w:p w:rsidR="00DD3040" w:rsidRDefault="00DD3040" w:rsidP="001611F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14D7A" w:rsidRPr="00152769" w:rsidRDefault="00152769" w:rsidP="001611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2769">
        <w:rPr>
          <w:rFonts w:ascii="Arial" w:hAnsi="Arial" w:cs="Arial"/>
          <w:b/>
          <w:bCs/>
          <w:sz w:val="24"/>
          <w:szCs w:val="24"/>
        </w:rPr>
        <w:t>COMMERCIALISTI, I CONSIGLI DI DISCIPLINA DOVRANNO SOSPENDERE I PROCEDIMENTI PENDENTI</w:t>
      </w:r>
    </w:p>
    <w:p w:rsidR="001611FD" w:rsidRPr="00DD3040" w:rsidRDefault="001611FD" w:rsidP="001611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3040">
        <w:rPr>
          <w:rFonts w:ascii="Arial" w:hAnsi="Arial" w:cs="Arial"/>
          <w:b/>
          <w:bCs/>
          <w:sz w:val="24"/>
          <w:szCs w:val="24"/>
        </w:rPr>
        <w:t xml:space="preserve">Il Consiglio nazionale </w:t>
      </w:r>
      <w:r w:rsidR="00414D7A">
        <w:rPr>
          <w:rFonts w:ascii="Arial" w:hAnsi="Arial" w:cs="Arial"/>
          <w:b/>
          <w:bCs/>
          <w:sz w:val="24"/>
          <w:szCs w:val="24"/>
        </w:rPr>
        <w:t xml:space="preserve">fornisce agli Ordini locali ulteriori indicazioni </w:t>
      </w:r>
      <w:r w:rsidRPr="00DD3040">
        <w:rPr>
          <w:rFonts w:ascii="Arial" w:hAnsi="Arial" w:cs="Arial"/>
          <w:b/>
          <w:bCs/>
          <w:sz w:val="24"/>
          <w:szCs w:val="24"/>
        </w:rPr>
        <w:t xml:space="preserve">alla luce del DPCM </w:t>
      </w:r>
      <w:r w:rsidR="00414D7A">
        <w:rPr>
          <w:rFonts w:ascii="Arial" w:hAnsi="Arial" w:cs="Arial"/>
          <w:b/>
          <w:bCs/>
          <w:sz w:val="24"/>
          <w:szCs w:val="24"/>
        </w:rPr>
        <w:t xml:space="preserve">del </w:t>
      </w:r>
      <w:r w:rsidRPr="00DD3040">
        <w:rPr>
          <w:rFonts w:ascii="Arial" w:hAnsi="Arial" w:cs="Arial"/>
          <w:b/>
          <w:bCs/>
          <w:sz w:val="24"/>
          <w:szCs w:val="24"/>
        </w:rPr>
        <w:t>9 marzo, che ha esteso a tutto il territorio nazionale le misure per contenere l’emergenza epidemiologica C</w:t>
      </w:r>
      <w:r w:rsidR="00152769">
        <w:rPr>
          <w:rFonts w:ascii="Arial" w:hAnsi="Arial" w:cs="Arial"/>
          <w:b/>
          <w:bCs/>
          <w:sz w:val="24"/>
          <w:szCs w:val="24"/>
        </w:rPr>
        <w:t>ovid</w:t>
      </w:r>
      <w:bookmarkStart w:id="0" w:name="_GoBack"/>
      <w:bookmarkEnd w:id="0"/>
      <w:r w:rsidRPr="00DD3040">
        <w:rPr>
          <w:rFonts w:ascii="Arial" w:hAnsi="Arial" w:cs="Arial"/>
          <w:b/>
          <w:bCs/>
          <w:sz w:val="24"/>
          <w:szCs w:val="24"/>
        </w:rPr>
        <w:t>-19</w:t>
      </w:r>
    </w:p>
    <w:p w:rsidR="001611FD" w:rsidRPr="001611FD" w:rsidRDefault="001611FD" w:rsidP="001611FD">
      <w:pPr>
        <w:spacing w:after="0" w:line="240" w:lineRule="auto"/>
        <w:jc w:val="both"/>
        <w:rPr>
          <w:rFonts w:ascii="Arial" w:hAnsi="Arial" w:cs="Arial"/>
        </w:rPr>
      </w:pPr>
    </w:p>
    <w:p w:rsidR="00957949" w:rsidRPr="001611FD" w:rsidRDefault="001611FD" w:rsidP="001611FD">
      <w:pPr>
        <w:spacing w:after="0" w:line="240" w:lineRule="auto"/>
        <w:jc w:val="both"/>
        <w:rPr>
          <w:rFonts w:ascii="Arial" w:hAnsi="Arial" w:cs="Arial"/>
        </w:rPr>
      </w:pPr>
      <w:r w:rsidRPr="00F51F01">
        <w:rPr>
          <w:rFonts w:ascii="Arial" w:hAnsi="Arial" w:cs="Arial"/>
          <w:i/>
          <w:iCs/>
        </w:rPr>
        <w:t>Roma, 10 marzo 2020</w:t>
      </w:r>
      <w:r>
        <w:rPr>
          <w:rFonts w:ascii="Arial" w:hAnsi="Arial" w:cs="Arial"/>
        </w:rPr>
        <w:t xml:space="preserve"> – </w:t>
      </w:r>
      <w:r w:rsidR="004359FD" w:rsidRPr="001611FD">
        <w:rPr>
          <w:rFonts w:ascii="Arial" w:hAnsi="Arial" w:cs="Arial"/>
        </w:rPr>
        <w:t>In seguito all’emanazione del DPCM del 9 marzo 2020</w:t>
      </w:r>
      <w:r w:rsidR="00957949" w:rsidRPr="001611FD">
        <w:rPr>
          <w:rFonts w:ascii="Arial" w:hAnsi="Arial" w:cs="Arial"/>
        </w:rPr>
        <w:t>,</w:t>
      </w:r>
      <w:r w:rsidR="004359FD" w:rsidRPr="001611FD">
        <w:rPr>
          <w:rFonts w:ascii="Arial" w:hAnsi="Arial" w:cs="Arial"/>
        </w:rPr>
        <w:t xml:space="preserve"> che ha esteso a tutto il territorio nazionale le misure per contenere e gestire l’emergenza epidemiologica COVID-19, il Consiglio nazionale dei commercialisti fornisce ulteriori indicazioni</w:t>
      </w:r>
      <w:r w:rsidR="00957949" w:rsidRPr="001611FD">
        <w:rPr>
          <w:rFonts w:ascii="Arial" w:hAnsi="Arial" w:cs="Arial"/>
        </w:rPr>
        <w:t xml:space="preserve"> operative agli Ordini territoriali per quanto riguarda lo svolgimento delle </w:t>
      </w:r>
      <w:r w:rsidR="00DD3040">
        <w:rPr>
          <w:rFonts w:ascii="Arial" w:hAnsi="Arial" w:cs="Arial"/>
        </w:rPr>
        <w:t xml:space="preserve">loro </w:t>
      </w:r>
      <w:r w:rsidR="00957949" w:rsidRPr="001611FD">
        <w:rPr>
          <w:rFonts w:ascii="Arial" w:hAnsi="Arial" w:cs="Arial"/>
        </w:rPr>
        <w:t>attività.</w:t>
      </w:r>
    </w:p>
    <w:p w:rsidR="00957949" w:rsidRPr="001611FD" w:rsidRDefault="00957949" w:rsidP="001611FD">
      <w:pPr>
        <w:spacing w:after="0" w:line="240" w:lineRule="auto"/>
        <w:ind w:left="273" w:hanging="10"/>
        <w:jc w:val="both"/>
        <w:rPr>
          <w:rFonts w:ascii="Arial" w:hAnsi="Arial" w:cs="Arial"/>
        </w:rPr>
      </w:pPr>
    </w:p>
    <w:p w:rsidR="004359FD" w:rsidRPr="00DD3040" w:rsidRDefault="00957949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  <w:b/>
          <w:bCs/>
        </w:rPr>
        <w:t>Divieto di assembramento</w:t>
      </w:r>
      <w:r w:rsidRPr="00DD3040">
        <w:rPr>
          <w:rFonts w:ascii="Arial" w:hAnsi="Arial" w:cs="Arial"/>
        </w:rPr>
        <w:t>. Per rispettare</w:t>
      </w:r>
      <w:r w:rsidR="004359FD" w:rsidRPr="00DD3040">
        <w:rPr>
          <w:rFonts w:ascii="Arial" w:hAnsi="Arial" w:cs="Arial"/>
        </w:rPr>
        <w:t xml:space="preserve"> </w:t>
      </w:r>
      <w:r w:rsidRPr="00DD3040">
        <w:rPr>
          <w:rFonts w:ascii="Arial" w:hAnsi="Arial" w:cs="Arial"/>
        </w:rPr>
        <w:t>i</w:t>
      </w:r>
      <w:r w:rsidR="004359FD" w:rsidRPr="00DD3040">
        <w:rPr>
          <w:rFonts w:ascii="Arial" w:hAnsi="Arial" w:cs="Arial"/>
        </w:rPr>
        <w:t>l divieto di assembramento di persone imposto su tutto il territorio nazionale</w:t>
      </w:r>
      <w:r w:rsidRPr="00DD3040">
        <w:rPr>
          <w:rFonts w:ascii="Arial" w:hAnsi="Arial" w:cs="Arial"/>
        </w:rPr>
        <w:t xml:space="preserve"> </w:t>
      </w:r>
      <w:r w:rsidR="004359FD" w:rsidRPr="00DD3040">
        <w:rPr>
          <w:rFonts w:ascii="Arial" w:hAnsi="Arial" w:cs="Arial"/>
        </w:rPr>
        <w:t>fino al 3 aprile 2020</w:t>
      </w:r>
      <w:r w:rsidRPr="00DD3040">
        <w:rPr>
          <w:rFonts w:ascii="Arial" w:hAnsi="Arial" w:cs="Arial"/>
        </w:rPr>
        <w:t>, le</w:t>
      </w:r>
      <w:r w:rsidR="004359FD" w:rsidRPr="00DD3040">
        <w:rPr>
          <w:rFonts w:ascii="Arial" w:hAnsi="Arial" w:cs="Arial"/>
        </w:rPr>
        <w:t xml:space="preserve"> sedute dei </w:t>
      </w:r>
      <w:r w:rsidR="004359FD" w:rsidRPr="00A24F94">
        <w:rPr>
          <w:rFonts w:ascii="Arial" w:hAnsi="Arial" w:cs="Arial"/>
          <w:b/>
          <w:bCs/>
        </w:rPr>
        <w:t>Consi</w:t>
      </w:r>
      <w:r w:rsidR="005352EC">
        <w:rPr>
          <w:rFonts w:ascii="Arial" w:hAnsi="Arial" w:cs="Arial"/>
          <w:b/>
          <w:bCs/>
        </w:rPr>
        <w:t>g</w:t>
      </w:r>
      <w:r w:rsidR="004359FD" w:rsidRPr="00A24F94">
        <w:rPr>
          <w:rFonts w:ascii="Arial" w:hAnsi="Arial" w:cs="Arial"/>
          <w:b/>
          <w:bCs/>
        </w:rPr>
        <w:t>li de</w:t>
      </w:r>
      <w:r w:rsidR="005352EC">
        <w:rPr>
          <w:rFonts w:ascii="Arial" w:hAnsi="Arial" w:cs="Arial"/>
          <w:b/>
          <w:bCs/>
        </w:rPr>
        <w:t>g</w:t>
      </w:r>
      <w:r w:rsidR="004359FD" w:rsidRPr="00A24F94">
        <w:rPr>
          <w:rFonts w:ascii="Arial" w:hAnsi="Arial" w:cs="Arial"/>
          <w:b/>
          <w:bCs/>
        </w:rPr>
        <w:t>li Ordini</w:t>
      </w:r>
      <w:r w:rsidR="004359FD" w:rsidRPr="00DD3040">
        <w:rPr>
          <w:rFonts w:ascii="Arial" w:hAnsi="Arial" w:cs="Arial"/>
        </w:rPr>
        <w:t xml:space="preserve"> si effettuano esclusivamente secondo modalità telematiche (call conference, video conferenze</w:t>
      </w:r>
      <w:r w:rsidR="00DD3040" w:rsidRPr="00DD3040">
        <w:rPr>
          <w:rFonts w:ascii="Arial" w:hAnsi="Arial" w:cs="Arial"/>
        </w:rPr>
        <w:t>, ecc.</w:t>
      </w:r>
      <w:r w:rsidR="004359FD" w:rsidRPr="00DD3040">
        <w:rPr>
          <w:rFonts w:ascii="Arial" w:hAnsi="Arial" w:cs="Arial"/>
        </w:rPr>
        <w:t>)</w:t>
      </w:r>
      <w:r w:rsidRPr="00DD3040">
        <w:rPr>
          <w:rFonts w:ascii="Arial" w:hAnsi="Arial" w:cs="Arial"/>
        </w:rPr>
        <w:t xml:space="preserve"> anche </w:t>
      </w:r>
      <w:r w:rsidR="004359FD" w:rsidRPr="00DD3040">
        <w:rPr>
          <w:rFonts w:ascii="Arial" w:hAnsi="Arial" w:cs="Arial"/>
        </w:rPr>
        <w:t>in assenza di specifica regolamentazione da parte dell'Ordine.</w:t>
      </w:r>
    </w:p>
    <w:p w:rsidR="00E94EF5" w:rsidRDefault="00E94EF5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957949" w:rsidRDefault="00DD3040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4359FD" w:rsidRPr="00A24F94">
        <w:rPr>
          <w:rFonts w:ascii="Arial" w:hAnsi="Arial" w:cs="Arial"/>
          <w:b/>
          <w:bCs/>
        </w:rPr>
        <w:t>Consi</w:t>
      </w:r>
      <w:r w:rsidR="005352EC">
        <w:rPr>
          <w:rFonts w:ascii="Arial" w:hAnsi="Arial" w:cs="Arial"/>
          <w:b/>
          <w:bCs/>
        </w:rPr>
        <w:t>g</w:t>
      </w:r>
      <w:r w:rsidR="004359FD" w:rsidRPr="00A24F94">
        <w:rPr>
          <w:rFonts w:ascii="Arial" w:hAnsi="Arial" w:cs="Arial"/>
          <w:b/>
          <w:bCs/>
        </w:rPr>
        <w:t>l</w:t>
      </w:r>
      <w:r w:rsidR="00A24F94" w:rsidRPr="00A24F94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e </w:t>
      </w:r>
      <w:r w:rsidR="00A24F9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5352EC" w:rsidRPr="005352EC">
        <w:rPr>
          <w:rFonts w:ascii="Arial" w:hAnsi="Arial" w:cs="Arial"/>
          <w:b/>
          <w:bCs/>
        </w:rPr>
        <w:t xml:space="preserve">Collegi </w:t>
      </w:r>
      <w:r w:rsidR="004359FD" w:rsidRPr="00A24F94">
        <w:rPr>
          <w:rFonts w:ascii="Arial" w:hAnsi="Arial" w:cs="Arial"/>
          <w:b/>
          <w:bCs/>
        </w:rPr>
        <w:t>di disciplina</w:t>
      </w:r>
      <w:r w:rsidR="00A24F94">
        <w:rPr>
          <w:rFonts w:ascii="Arial" w:hAnsi="Arial" w:cs="Arial"/>
        </w:rPr>
        <w:t>, invece, non potendo svolgere le proprie riunioni seco</w:t>
      </w:r>
      <w:r w:rsidR="004359FD" w:rsidRPr="00DD3040">
        <w:rPr>
          <w:rFonts w:ascii="Arial" w:hAnsi="Arial" w:cs="Arial"/>
        </w:rPr>
        <w:t>ndo le modalità della video conferenza</w:t>
      </w:r>
      <w:r w:rsidR="00A24F94">
        <w:rPr>
          <w:rFonts w:ascii="Arial" w:hAnsi="Arial" w:cs="Arial"/>
        </w:rPr>
        <w:t xml:space="preserve">, </w:t>
      </w:r>
      <w:r w:rsidR="004359FD" w:rsidRPr="00DD3040">
        <w:rPr>
          <w:rFonts w:ascii="Arial" w:hAnsi="Arial" w:cs="Arial"/>
        </w:rPr>
        <w:t xml:space="preserve">con </w:t>
      </w:r>
      <w:r w:rsidR="004359FD" w:rsidRPr="00F51F01">
        <w:rPr>
          <w:rFonts w:ascii="Arial" w:hAnsi="Arial" w:cs="Arial"/>
        </w:rPr>
        <w:t xml:space="preserve">provvedimenti di urgenza resi dai rispettivi Presidenti dovranno </w:t>
      </w:r>
      <w:r w:rsidR="00A24F94" w:rsidRPr="00F51F01">
        <w:rPr>
          <w:rFonts w:ascii="Arial" w:hAnsi="Arial" w:cs="Arial"/>
        </w:rPr>
        <w:t>s</w:t>
      </w:r>
      <w:r w:rsidR="004359FD" w:rsidRPr="00F51F01">
        <w:rPr>
          <w:rFonts w:ascii="Arial" w:hAnsi="Arial" w:cs="Arial"/>
        </w:rPr>
        <w:t>ospen</w:t>
      </w:r>
      <w:r w:rsidR="00A24F94" w:rsidRPr="00F51F01">
        <w:rPr>
          <w:rFonts w:ascii="Arial" w:hAnsi="Arial" w:cs="Arial"/>
        </w:rPr>
        <w:t xml:space="preserve">dere </w:t>
      </w:r>
      <w:r w:rsidR="004359FD" w:rsidRPr="00F51F01">
        <w:rPr>
          <w:rFonts w:ascii="Arial" w:hAnsi="Arial" w:cs="Arial"/>
        </w:rPr>
        <w:t>i procedimenti disciplinari</w:t>
      </w:r>
      <w:r w:rsidR="004359FD" w:rsidRPr="00DD3040">
        <w:rPr>
          <w:rFonts w:ascii="Arial" w:hAnsi="Arial" w:cs="Arial"/>
        </w:rPr>
        <w:t xml:space="preserve"> pendenti alla data della presente comunicazione, con la conseguente interruzione di tutti i relativi termini di prescrizione e decadenza</w:t>
      </w:r>
      <w:r w:rsidR="00957949" w:rsidRPr="00DD3040">
        <w:rPr>
          <w:rFonts w:ascii="Arial" w:hAnsi="Arial" w:cs="Arial"/>
        </w:rPr>
        <w:t>.</w:t>
      </w:r>
    </w:p>
    <w:p w:rsidR="00E94EF5" w:rsidRDefault="00E94EF5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4359FD" w:rsidRPr="00DD3040" w:rsidRDefault="00957949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</w:rPr>
        <w:t>La c</w:t>
      </w:r>
      <w:r w:rsidR="004359FD" w:rsidRPr="00DD3040">
        <w:rPr>
          <w:rFonts w:ascii="Arial" w:hAnsi="Arial" w:cs="Arial"/>
        </w:rPr>
        <w:t>onvocazione dell</w:t>
      </w:r>
      <w:r w:rsidR="00B10811">
        <w:rPr>
          <w:rFonts w:ascii="Arial" w:hAnsi="Arial" w:cs="Arial"/>
        </w:rPr>
        <w:t>’</w:t>
      </w:r>
      <w:r w:rsidR="00B10811" w:rsidRPr="00B10811">
        <w:rPr>
          <w:rFonts w:ascii="Arial" w:hAnsi="Arial" w:cs="Arial"/>
          <w:b/>
          <w:bCs/>
        </w:rPr>
        <w:t>A</w:t>
      </w:r>
      <w:r w:rsidR="004359FD" w:rsidRPr="00B10811">
        <w:rPr>
          <w:rFonts w:ascii="Arial" w:hAnsi="Arial" w:cs="Arial"/>
          <w:b/>
          <w:bCs/>
        </w:rPr>
        <w:t xml:space="preserve">ssemblea </w:t>
      </w:r>
      <w:r w:rsidR="005352EC">
        <w:rPr>
          <w:rFonts w:ascii="Arial" w:hAnsi="Arial" w:cs="Arial"/>
          <w:b/>
          <w:bCs/>
        </w:rPr>
        <w:t>g</w:t>
      </w:r>
      <w:r w:rsidR="004359FD" w:rsidRPr="00B10811">
        <w:rPr>
          <w:rFonts w:ascii="Arial" w:hAnsi="Arial" w:cs="Arial"/>
          <w:b/>
          <w:bCs/>
        </w:rPr>
        <w:t>enerale de</w:t>
      </w:r>
      <w:r w:rsidR="005352EC">
        <w:rPr>
          <w:rFonts w:ascii="Arial" w:hAnsi="Arial" w:cs="Arial"/>
          <w:b/>
          <w:bCs/>
        </w:rPr>
        <w:t>g</w:t>
      </w:r>
      <w:r w:rsidR="004359FD" w:rsidRPr="00B10811">
        <w:rPr>
          <w:rFonts w:ascii="Arial" w:hAnsi="Arial" w:cs="Arial"/>
          <w:b/>
          <w:bCs/>
        </w:rPr>
        <w:t xml:space="preserve">li iscritti </w:t>
      </w:r>
      <w:r w:rsidR="004359FD" w:rsidRPr="00DD3040">
        <w:rPr>
          <w:rFonts w:ascii="Arial" w:hAnsi="Arial" w:cs="Arial"/>
        </w:rPr>
        <w:t>nell</w:t>
      </w:r>
      <w:r w:rsidR="00B1081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albo e nell</w:t>
      </w:r>
      <w:r w:rsidR="00B1081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elenco per</w:t>
      </w:r>
      <w:r w:rsidRPr="00DD3040">
        <w:rPr>
          <w:rFonts w:ascii="Arial" w:hAnsi="Arial" w:cs="Arial"/>
        </w:rPr>
        <w:t xml:space="preserve"> l’approvazione del consuntivo dell’O</w:t>
      </w:r>
      <w:r w:rsidR="004359FD" w:rsidRPr="00DD3040">
        <w:rPr>
          <w:rFonts w:ascii="Arial" w:hAnsi="Arial" w:cs="Arial"/>
        </w:rPr>
        <w:t>rdine, da tenersi nel mese di aprile di ogni anno, è rinviata al termine del periodo di emergenza per garantire la più ampia partecipazione degli iscritti.</w:t>
      </w:r>
    </w:p>
    <w:p w:rsidR="00957949" w:rsidRPr="00DD3040" w:rsidRDefault="00957949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4359FD" w:rsidRPr="00DD3040" w:rsidRDefault="00AF42BC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  <w:b/>
          <w:bCs/>
        </w:rPr>
        <w:t xml:space="preserve">Attività </w:t>
      </w:r>
      <w:r w:rsidR="00957949" w:rsidRPr="00DD3040">
        <w:rPr>
          <w:rFonts w:ascii="Arial" w:hAnsi="Arial" w:cs="Arial"/>
          <w:b/>
          <w:bCs/>
        </w:rPr>
        <w:t>ordinaria</w:t>
      </w:r>
      <w:r w:rsidR="00957949" w:rsidRPr="00DD3040">
        <w:rPr>
          <w:rFonts w:ascii="Arial" w:hAnsi="Arial" w:cs="Arial"/>
        </w:rPr>
        <w:t xml:space="preserve">. </w:t>
      </w:r>
      <w:r w:rsidR="004359FD" w:rsidRPr="00DD3040">
        <w:rPr>
          <w:rFonts w:ascii="Arial" w:hAnsi="Arial" w:cs="Arial"/>
        </w:rPr>
        <w:t>Per quanto riguarda lo svolgimento della ordinaria attività degli Ordini relativa</w:t>
      </w:r>
      <w:r w:rsidR="00F51F01">
        <w:rPr>
          <w:rFonts w:ascii="Arial" w:hAnsi="Arial" w:cs="Arial"/>
        </w:rPr>
        <w:t>,</w:t>
      </w:r>
      <w:r w:rsidR="004359FD" w:rsidRPr="00DD3040">
        <w:rPr>
          <w:rFonts w:ascii="Arial" w:hAnsi="Arial" w:cs="Arial"/>
        </w:rPr>
        <w:t xml:space="preserve"> in particolare</w:t>
      </w:r>
      <w:r w:rsidR="00F51F01">
        <w:rPr>
          <w:rFonts w:ascii="Arial" w:hAnsi="Arial" w:cs="Arial"/>
        </w:rPr>
        <w:t>,</w:t>
      </w:r>
      <w:r w:rsidR="00957949" w:rsidRPr="00DD3040">
        <w:rPr>
          <w:rFonts w:ascii="Arial" w:hAnsi="Arial" w:cs="Arial"/>
        </w:rPr>
        <w:t xml:space="preserve"> </w:t>
      </w:r>
      <w:r w:rsidR="004359FD" w:rsidRPr="00DD3040">
        <w:rPr>
          <w:rFonts w:ascii="Arial" w:hAnsi="Arial" w:cs="Arial"/>
        </w:rPr>
        <w:t>alla revisione dell'albo e dell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 xml:space="preserve">elenco speciale </w:t>
      </w:r>
      <w:r w:rsidR="00957949" w:rsidRPr="00DD3040">
        <w:rPr>
          <w:rFonts w:ascii="Arial" w:hAnsi="Arial" w:cs="Arial"/>
        </w:rPr>
        <w:t xml:space="preserve">e </w:t>
      </w:r>
      <w:r w:rsidR="004359FD" w:rsidRPr="00DD3040">
        <w:rPr>
          <w:rFonts w:ascii="Arial" w:hAnsi="Arial" w:cs="Arial"/>
        </w:rPr>
        <w:t>alla verifica dell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adempimento dell</w:t>
      </w:r>
      <w:r w:rsidR="00F51F01">
        <w:rPr>
          <w:rFonts w:ascii="Arial" w:hAnsi="Arial" w:cs="Arial"/>
        </w:rPr>
        <w:t xml:space="preserve">’obbligo </w:t>
      </w:r>
      <w:r w:rsidR="004359FD" w:rsidRPr="00DD3040">
        <w:rPr>
          <w:rFonts w:ascii="Arial" w:hAnsi="Arial" w:cs="Arial"/>
        </w:rPr>
        <w:t>formativo relativo al triennio 2017-2019</w:t>
      </w:r>
      <w:r w:rsidR="00F51F01">
        <w:rPr>
          <w:rFonts w:ascii="Arial" w:hAnsi="Arial" w:cs="Arial"/>
        </w:rPr>
        <w:t>, i</w:t>
      </w:r>
      <w:r w:rsidR="004359FD" w:rsidRPr="00DD3040">
        <w:rPr>
          <w:rFonts w:ascii="Arial" w:hAnsi="Arial" w:cs="Arial"/>
        </w:rPr>
        <w:t>l Consiglio Nazionale attiverà le verifiche sull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operato degli Ordini solo a partire dal 30 giugno 2020.</w:t>
      </w:r>
      <w:r w:rsidR="005352EC">
        <w:rPr>
          <w:rFonts w:ascii="Arial" w:hAnsi="Arial" w:cs="Arial"/>
        </w:rPr>
        <w:t xml:space="preserve"> Al </w:t>
      </w:r>
      <w:r w:rsidR="00F51F01">
        <w:rPr>
          <w:rFonts w:ascii="Arial" w:hAnsi="Arial" w:cs="Arial"/>
        </w:rPr>
        <w:t>termine dell’emergenza</w:t>
      </w:r>
      <w:r w:rsidR="004359FD" w:rsidRPr="00DD3040">
        <w:rPr>
          <w:rFonts w:ascii="Arial" w:hAnsi="Arial" w:cs="Arial"/>
        </w:rPr>
        <w:t>, come comunicato con 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informativa n. 16/2020, il Consiglio Nazionale pro</w:t>
      </w:r>
      <w:r w:rsidR="00D91431" w:rsidRPr="00DD3040">
        <w:rPr>
          <w:rFonts w:ascii="Arial" w:hAnsi="Arial" w:cs="Arial"/>
        </w:rPr>
        <w:t>vve</w:t>
      </w:r>
      <w:r w:rsidR="004359FD" w:rsidRPr="00DD3040">
        <w:rPr>
          <w:rFonts w:ascii="Arial" w:hAnsi="Arial" w:cs="Arial"/>
        </w:rPr>
        <w:t>derà a rideterminare il numero di crediti formativi per 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anno 2020</w:t>
      </w:r>
      <w:r w:rsidR="00F51F01">
        <w:rPr>
          <w:rFonts w:ascii="Arial" w:hAnsi="Arial" w:cs="Arial"/>
        </w:rPr>
        <w:t xml:space="preserve"> tenendo </w:t>
      </w:r>
      <w:r w:rsidR="004359FD" w:rsidRPr="00DD3040">
        <w:rPr>
          <w:rFonts w:ascii="Arial" w:hAnsi="Arial" w:cs="Arial"/>
        </w:rPr>
        <w:t>conto della durata del periodo emergenziale.</w:t>
      </w:r>
    </w:p>
    <w:p w:rsidR="00D91431" w:rsidRPr="00DD3040" w:rsidRDefault="00D91431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4359FD" w:rsidRPr="00DD3040" w:rsidRDefault="00D91431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  <w:b/>
          <w:bCs/>
        </w:rPr>
        <w:t>Tirocinio professionale</w:t>
      </w:r>
      <w:r w:rsidRPr="00DD3040">
        <w:rPr>
          <w:rFonts w:ascii="Arial" w:hAnsi="Arial" w:cs="Arial"/>
        </w:rPr>
        <w:t xml:space="preserve">. </w:t>
      </w:r>
      <w:r w:rsidR="004359FD" w:rsidRPr="00DD3040">
        <w:rPr>
          <w:rFonts w:ascii="Arial" w:hAnsi="Arial" w:cs="Arial"/>
        </w:rPr>
        <w:t>Con riferimento allo</w:t>
      </w:r>
      <w:r w:rsidR="00F51F01">
        <w:rPr>
          <w:rFonts w:ascii="Arial" w:hAnsi="Arial" w:cs="Arial"/>
        </w:rPr>
        <w:t xml:space="preserve"> svolgimento </w:t>
      </w:r>
      <w:r w:rsidR="004359FD" w:rsidRPr="00DD3040">
        <w:rPr>
          <w:rFonts w:ascii="Arial" w:hAnsi="Arial" w:cs="Arial"/>
        </w:rPr>
        <w:t>del tirocinio professionale, si invitano gli Ordini a comunicare agli iscritti che le raccomandazioni per la gestione dell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 xml:space="preserve">emergenza, emanate con riferimento ai rapporti di lavoro, possono trovare applicazione, in quanto compatibili, anche ai rapporti con i tirocinanti ai quali deve essere offerta la possibilità di seguire le attività in modalità telematica. Sarà cura del </w:t>
      </w:r>
      <w:r w:rsidR="00F51F01">
        <w:rPr>
          <w:rFonts w:ascii="Arial" w:hAnsi="Arial" w:cs="Arial"/>
        </w:rPr>
        <w:t>d</w:t>
      </w:r>
      <w:r w:rsidR="004359FD" w:rsidRPr="00DD3040">
        <w:rPr>
          <w:rFonts w:ascii="Arial" w:hAnsi="Arial" w:cs="Arial"/>
        </w:rPr>
        <w:t>ominus certificare all'Ordine, al termine del periodo di emergenza, lo svolgimento del tirocinio secondo le modalità definite in ciascuno studio.</w:t>
      </w:r>
    </w:p>
    <w:p w:rsidR="00E329A2" w:rsidRPr="00DD3040" w:rsidRDefault="00E329A2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4359FD" w:rsidRPr="00DD3040" w:rsidRDefault="00E329A2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  <w:b/>
          <w:bCs/>
        </w:rPr>
        <w:t>Questionario antiriciclaggio</w:t>
      </w:r>
      <w:r w:rsidRPr="00DD3040">
        <w:rPr>
          <w:rFonts w:ascii="Arial" w:hAnsi="Arial" w:cs="Arial"/>
        </w:rPr>
        <w:t xml:space="preserve">. </w:t>
      </w:r>
      <w:r w:rsidR="00F51F01">
        <w:rPr>
          <w:rFonts w:ascii="Arial" w:hAnsi="Arial" w:cs="Arial"/>
        </w:rPr>
        <w:t xml:space="preserve">Il </w:t>
      </w:r>
      <w:r w:rsidR="004359FD" w:rsidRPr="00DD3040">
        <w:rPr>
          <w:rFonts w:ascii="Arial" w:hAnsi="Arial" w:cs="Arial"/>
        </w:rPr>
        <w:t>termine per la compilazione</w:t>
      </w:r>
      <w:r w:rsidR="00F51F01">
        <w:rPr>
          <w:rFonts w:ascii="Arial" w:hAnsi="Arial" w:cs="Arial"/>
        </w:rPr>
        <w:t xml:space="preserve"> del Questionario antiriciclaggio</w:t>
      </w:r>
      <w:r w:rsidR="004359FD" w:rsidRPr="00DD3040">
        <w:rPr>
          <w:rFonts w:ascii="Arial" w:hAnsi="Arial" w:cs="Arial"/>
        </w:rPr>
        <w:t xml:space="preserve"> da parte del campione di iscritti individuato dagli Ordini è ulteriormente prorogato al 30 giugno 2020.</w:t>
      </w:r>
    </w:p>
    <w:p w:rsidR="00E329A2" w:rsidRPr="00DD3040" w:rsidRDefault="00E329A2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7D7E8A" w:rsidRDefault="00E329A2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  <w:b/>
          <w:bCs/>
        </w:rPr>
        <w:t>Riscossione dei contributi dovuti al CNDCEC</w:t>
      </w:r>
      <w:r w:rsidR="00F51F01">
        <w:rPr>
          <w:rFonts w:ascii="Arial" w:hAnsi="Arial" w:cs="Arial"/>
        </w:rPr>
        <w:t xml:space="preserve">. Per </w:t>
      </w:r>
      <w:r w:rsidR="004359FD" w:rsidRPr="00DD3040">
        <w:rPr>
          <w:rFonts w:ascii="Arial" w:hAnsi="Arial" w:cs="Arial"/>
        </w:rPr>
        <w:t>consentire ai Consigli degli Ordini di poter rinviare la riscossione delle quote di loro spettanza relative all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anno 2020, la scadenza dei termini per il versamento dei contributi dovuti al Consiglio Nazionale fissati entro il 15 maggio 2020 ed entro il 15 luglio 2020 (informativa 94/2019) è rinviata al 30 settembre 2020.</w:t>
      </w:r>
    </w:p>
    <w:p w:rsidR="00F51F01" w:rsidRPr="00DD3040" w:rsidRDefault="00F51F01" w:rsidP="001611FD">
      <w:pPr>
        <w:spacing w:after="0" w:line="240" w:lineRule="auto"/>
        <w:ind w:right="9"/>
        <w:jc w:val="both"/>
        <w:rPr>
          <w:rFonts w:ascii="Arial" w:hAnsi="Arial" w:cs="Arial"/>
        </w:rPr>
      </w:pPr>
    </w:p>
    <w:p w:rsidR="00E94EF5" w:rsidRDefault="00E94EF5" w:rsidP="001611FD">
      <w:pPr>
        <w:spacing w:after="0" w:line="240" w:lineRule="auto"/>
        <w:ind w:right="9"/>
        <w:jc w:val="both"/>
        <w:rPr>
          <w:rFonts w:ascii="Arial" w:hAnsi="Arial" w:cs="Arial"/>
          <w:b/>
          <w:bCs/>
        </w:rPr>
      </w:pPr>
    </w:p>
    <w:p w:rsidR="00E94EF5" w:rsidRDefault="00E94EF5" w:rsidP="001611FD">
      <w:pPr>
        <w:spacing w:after="0" w:line="240" w:lineRule="auto"/>
        <w:ind w:right="9"/>
        <w:jc w:val="both"/>
        <w:rPr>
          <w:rFonts w:ascii="Arial" w:hAnsi="Arial" w:cs="Arial"/>
          <w:b/>
          <w:bCs/>
        </w:rPr>
      </w:pPr>
    </w:p>
    <w:p w:rsidR="004359FD" w:rsidRPr="00DD3040" w:rsidRDefault="007D7E8A" w:rsidP="001611FD">
      <w:pPr>
        <w:spacing w:after="0" w:line="240" w:lineRule="auto"/>
        <w:ind w:right="9"/>
        <w:jc w:val="both"/>
        <w:rPr>
          <w:rFonts w:ascii="Arial" w:hAnsi="Arial" w:cs="Arial"/>
        </w:rPr>
      </w:pPr>
      <w:r w:rsidRPr="00DD3040">
        <w:rPr>
          <w:rFonts w:ascii="Arial" w:hAnsi="Arial" w:cs="Arial"/>
          <w:b/>
          <w:bCs/>
        </w:rPr>
        <w:lastRenderedPageBreak/>
        <w:t>Fiscalità e Funzioni giudiziarie</w:t>
      </w:r>
      <w:r w:rsidRPr="00DD3040">
        <w:rPr>
          <w:rFonts w:ascii="Arial" w:hAnsi="Arial" w:cs="Arial"/>
        </w:rPr>
        <w:t xml:space="preserve">. </w:t>
      </w:r>
      <w:r w:rsidR="00F51F01">
        <w:rPr>
          <w:rFonts w:ascii="Arial" w:hAnsi="Arial" w:cs="Arial"/>
        </w:rPr>
        <w:t xml:space="preserve">Il Consiglio Nazionale invita </w:t>
      </w:r>
      <w:r w:rsidR="004359FD" w:rsidRPr="00DD3040">
        <w:rPr>
          <w:rFonts w:ascii="Arial" w:hAnsi="Arial" w:cs="Arial"/>
        </w:rPr>
        <w:t xml:space="preserve">gli Ordini </w:t>
      </w:r>
      <w:r w:rsidR="00F51F01">
        <w:rPr>
          <w:rFonts w:ascii="Arial" w:hAnsi="Arial" w:cs="Arial"/>
        </w:rPr>
        <w:t xml:space="preserve">che ancora non lo hanno fatto </w:t>
      </w:r>
      <w:r w:rsidR="004359FD" w:rsidRPr="00DD3040">
        <w:rPr>
          <w:rFonts w:ascii="Arial" w:hAnsi="Arial" w:cs="Arial"/>
        </w:rPr>
        <w:t>a nominare un Consigliere Responsabile per i rapporti con l</w:t>
      </w:r>
      <w:r w:rsidR="00F51F01">
        <w:rPr>
          <w:rFonts w:ascii="Arial" w:hAnsi="Arial" w:cs="Arial"/>
        </w:rPr>
        <w:t>’</w:t>
      </w:r>
      <w:r w:rsidR="004359FD" w:rsidRPr="00DD3040">
        <w:rPr>
          <w:rFonts w:ascii="Arial" w:hAnsi="Arial" w:cs="Arial"/>
        </w:rPr>
        <w:t>Agenzia delle Entrate e con il Tribunale che, coordinandosi con il C</w:t>
      </w:r>
      <w:r w:rsidR="00F51F01">
        <w:rPr>
          <w:rFonts w:ascii="Arial" w:hAnsi="Arial" w:cs="Arial"/>
        </w:rPr>
        <w:t>NDCEC</w:t>
      </w:r>
      <w:r w:rsidR="004359FD" w:rsidRPr="00DD3040">
        <w:rPr>
          <w:rFonts w:ascii="Arial" w:hAnsi="Arial" w:cs="Arial"/>
        </w:rPr>
        <w:t>, possa svolgere la funzione di referente per gli iscritti sui temi della fiscalità e delle funzioni giudiziarie nel periodo di emergenza.</w:t>
      </w: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</w:p>
    <w:p w:rsidR="00E94EF5" w:rsidRP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  <w:r w:rsidRPr="00E94EF5">
        <w:rPr>
          <w:rFonts w:ascii="Arial" w:eastAsiaTheme="minorHAnsi" w:hAnsi="Arial" w:cs="Arial"/>
          <w:b/>
          <w:color w:val="auto"/>
          <w:lang w:eastAsia="en-US"/>
        </w:rPr>
        <w:t>--</w:t>
      </w:r>
    </w:p>
    <w:p w:rsidR="00E94EF5" w:rsidRP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  <w:r w:rsidRPr="00E94EF5">
        <w:rPr>
          <w:rFonts w:ascii="Arial" w:eastAsiaTheme="minorHAnsi" w:hAnsi="Arial" w:cs="Arial"/>
          <w:b/>
          <w:color w:val="auto"/>
          <w:lang w:eastAsia="en-US"/>
        </w:rPr>
        <w:t>Ufficio stampa Consiglio Nazionale dei Dottori Commercialisti</w:t>
      </w:r>
    </w:p>
    <w:p w:rsidR="00E94EF5" w:rsidRPr="00E94EF5" w:rsidRDefault="00E94EF5" w:rsidP="00E94EF5">
      <w:pPr>
        <w:spacing w:after="0" w:line="240" w:lineRule="auto"/>
        <w:rPr>
          <w:rFonts w:ascii="Arial" w:eastAsiaTheme="minorHAnsi" w:hAnsi="Arial" w:cs="Arial"/>
          <w:b/>
          <w:color w:val="auto"/>
          <w:lang w:eastAsia="en-US"/>
        </w:rPr>
      </w:pPr>
      <w:r w:rsidRPr="00E94EF5">
        <w:rPr>
          <w:rFonts w:ascii="Arial" w:eastAsiaTheme="minorHAnsi" w:hAnsi="Arial" w:cs="Arial"/>
          <w:b/>
          <w:color w:val="auto"/>
          <w:lang w:eastAsia="en-US"/>
        </w:rPr>
        <w:t>e degli Esperti Contabili</w:t>
      </w:r>
    </w:p>
    <w:p w:rsidR="00E94EF5" w:rsidRPr="00E94EF5" w:rsidRDefault="00E94EF5" w:rsidP="00E94EF5">
      <w:pPr>
        <w:spacing w:after="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E94EF5">
        <w:rPr>
          <w:rFonts w:ascii="Arial" w:eastAsiaTheme="minorHAnsi" w:hAnsi="Arial" w:cs="Arial"/>
          <w:color w:val="auto"/>
          <w:lang w:eastAsia="en-US"/>
        </w:rPr>
        <w:t>Tiziana Mastrogiacomo</w:t>
      </w:r>
    </w:p>
    <w:p w:rsidR="00E94EF5" w:rsidRPr="00E94EF5" w:rsidRDefault="00E94EF5" w:rsidP="00E94EF5">
      <w:pPr>
        <w:spacing w:after="0" w:line="240" w:lineRule="auto"/>
        <w:rPr>
          <w:rFonts w:ascii="Arial" w:eastAsiaTheme="minorHAnsi" w:hAnsi="Arial" w:cs="Arial"/>
          <w:color w:val="auto"/>
          <w:lang w:eastAsia="en-US"/>
        </w:rPr>
      </w:pPr>
      <w:r w:rsidRPr="00E94EF5">
        <w:rPr>
          <w:rFonts w:ascii="Arial" w:eastAsiaTheme="minorHAnsi" w:hAnsi="Arial" w:cs="Arial"/>
          <w:color w:val="auto"/>
          <w:lang w:eastAsia="en-US"/>
        </w:rPr>
        <w:t>mastrogiacomo@commercialisti.it</w:t>
      </w:r>
    </w:p>
    <w:p w:rsidR="00E94EF5" w:rsidRPr="00E94EF5" w:rsidRDefault="00E94EF5" w:rsidP="00E94EF5">
      <w:pPr>
        <w:spacing w:after="0" w:line="240" w:lineRule="auto"/>
        <w:rPr>
          <w:rFonts w:ascii="Arial" w:eastAsiaTheme="minorEastAsia" w:hAnsi="Arial" w:cs="Arial"/>
          <w:color w:val="auto"/>
        </w:rPr>
      </w:pPr>
      <w:r w:rsidRPr="00E94EF5">
        <w:rPr>
          <w:rFonts w:ascii="Arial" w:eastAsiaTheme="minorEastAsia" w:hAnsi="Arial" w:cs="Arial"/>
          <w:color w:val="auto"/>
        </w:rPr>
        <w:t>06.47863623</w:t>
      </w:r>
    </w:p>
    <w:p w:rsidR="006501AD" w:rsidRPr="00DD3040" w:rsidRDefault="006501AD" w:rsidP="00957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501AD" w:rsidRPr="00DD30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61" w:rsidRDefault="00853961" w:rsidP="00E94EF5">
      <w:pPr>
        <w:spacing w:after="0" w:line="240" w:lineRule="auto"/>
      </w:pPr>
      <w:r>
        <w:separator/>
      </w:r>
    </w:p>
  </w:endnote>
  <w:endnote w:type="continuationSeparator" w:id="0">
    <w:p w:rsidR="00853961" w:rsidRDefault="00853961" w:rsidP="00E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61" w:rsidRDefault="00853961" w:rsidP="00E94EF5">
      <w:pPr>
        <w:spacing w:after="0" w:line="240" w:lineRule="auto"/>
      </w:pPr>
      <w:r>
        <w:separator/>
      </w:r>
    </w:p>
  </w:footnote>
  <w:footnote w:type="continuationSeparator" w:id="0">
    <w:p w:rsidR="00853961" w:rsidRDefault="00853961" w:rsidP="00E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F5" w:rsidRDefault="00E94EF5">
    <w:pPr>
      <w:pStyle w:val="Intestazione"/>
    </w:pPr>
    <w:r w:rsidRPr="00A945F8">
      <w:rPr>
        <w:noProof/>
      </w:rPr>
      <w:drawing>
        <wp:inline distT="0" distB="0" distL="0" distR="0" wp14:anchorId="0C765199" wp14:editId="32251FF8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12.75pt;height:12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82116EC"/>
    <w:multiLevelType w:val="hybridMultilevel"/>
    <w:tmpl w:val="3BDAABDA"/>
    <w:lvl w:ilvl="0" w:tplc="3FFC0BE8">
      <w:start w:val="1"/>
      <w:numFmt w:val="bullet"/>
      <w:lvlText w:val="•"/>
      <w:lvlPicBulletId w:val="0"/>
      <w:lvlJc w:val="left"/>
      <w:pPr>
        <w:ind w:left="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65B96">
      <w:start w:val="1"/>
      <w:numFmt w:val="bullet"/>
      <w:lvlText w:val="o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65B62">
      <w:start w:val="1"/>
      <w:numFmt w:val="bullet"/>
      <w:lvlText w:val="▪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99BE">
      <w:start w:val="1"/>
      <w:numFmt w:val="bullet"/>
      <w:lvlText w:val="•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1448">
      <w:start w:val="1"/>
      <w:numFmt w:val="bullet"/>
      <w:lvlText w:val="o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2DCC">
      <w:start w:val="1"/>
      <w:numFmt w:val="bullet"/>
      <w:lvlText w:val="▪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B206">
      <w:start w:val="1"/>
      <w:numFmt w:val="bullet"/>
      <w:lvlText w:val="•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5F22">
      <w:start w:val="1"/>
      <w:numFmt w:val="bullet"/>
      <w:lvlText w:val="o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45B2">
      <w:start w:val="1"/>
      <w:numFmt w:val="bullet"/>
      <w:lvlText w:val="▪"/>
      <w:lvlJc w:val="left"/>
      <w:pPr>
        <w:ind w:left="6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D"/>
    <w:rsid w:val="00013C93"/>
    <w:rsid w:val="00152769"/>
    <w:rsid w:val="001611FD"/>
    <w:rsid w:val="00414D7A"/>
    <w:rsid w:val="004359FD"/>
    <w:rsid w:val="00462261"/>
    <w:rsid w:val="005352EC"/>
    <w:rsid w:val="006501AD"/>
    <w:rsid w:val="00742856"/>
    <w:rsid w:val="007D7E8A"/>
    <w:rsid w:val="00853961"/>
    <w:rsid w:val="00957949"/>
    <w:rsid w:val="00A24F94"/>
    <w:rsid w:val="00AF42BC"/>
    <w:rsid w:val="00B10811"/>
    <w:rsid w:val="00D91431"/>
    <w:rsid w:val="00DD3040"/>
    <w:rsid w:val="00E329A2"/>
    <w:rsid w:val="00E94EF5"/>
    <w:rsid w:val="00ED226A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09BB"/>
  <w15:chartTrackingRefBased/>
  <w15:docId w15:val="{A7F16E73-B5EA-4EB1-8F13-55A48073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359F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EF5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dcterms:created xsi:type="dcterms:W3CDTF">2020-03-10T16:23:00Z</dcterms:created>
  <dcterms:modified xsi:type="dcterms:W3CDTF">2020-04-02T16:37:00Z</dcterms:modified>
</cp:coreProperties>
</file>