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6B3F8" w14:textId="77777777" w:rsidR="00687D67" w:rsidRPr="00942225" w:rsidRDefault="00687D67" w:rsidP="00407826">
      <w:pPr>
        <w:jc w:val="center"/>
        <w:rPr>
          <w:rFonts w:ascii="Arial" w:hAnsi="Arial" w:cs="Arial"/>
          <w:b/>
          <w:bCs/>
          <w:sz w:val="23"/>
          <w:szCs w:val="23"/>
          <w:u w:val="single"/>
        </w:rPr>
      </w:pPr>
    </w:p>
    <w:p w14:paraId="50CEF1A0" w14:textId="77777777" w:rsidR="00174C9E" w:rsidRPr="00942225" w:rsidRDefault="00174C9E" w:rsidP="00174C9E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222222"/>
          <w:sz w:val="23"/>
          <w:szCs w:val="23"/>
          <w:u w:val="single"/>
          <w:lang w:eastAsia="it-IT"/>
        </w:rPr>
      </w:pPr>
    </w:p>
    <w:p w14:paraId="6C98AF99" w14:textId="2B7208F9" w:rsidR="00174C9E" w:rsidRPr="00942225" w:rsidRDefault="00174C9E" w:rsidP="00942225">
      <w:pPr>
        <w:shd w:val="clear" w:color="auto" w:fill="FFFFFF"/>
        <w:jc w:val="center"/>
        <w:rPr>
          <w:rFonts w:ascii="Calibri" w:eastAsia="Times New Roman" w:hAnsi="Calibri" w:cs="Calibri"/>
          <w:color w:val="222222"/>
          <w:sz w:val="23"/>
          <w:szCs w:val="23"/>
          <w:lang w:eastAsia="it-IT"/>
        </w:rPr>
      </w:pPr>
      <w:r w:rsidRPr="00942225">
        <w:rPr>
          <w:rFonts w:ascii="Arial" w:eastAsia="Times New Roman" w:hAnsi="Arial" w:cs="Arial"/>
          <w:b/>
          <w:bCs/>
          <w:color w:val="222222"/>
          <w:sz w:val="23"/>
          <w:szCs w:val="23"/>
          <w:u w:val="single"/>
          <w:lang w:eastAsia="it-IT"/>
        </w:rPr>
        <w:t>Comunicato stampa</w:t>
      </w:r>
    </w:p>
    <w:p w14:paraId="38957D6A" w14:textId="77777777" w:rsidR="00174C9E" w:rsidRPr="00942225" w:rsidRDefault="00174C9E" w:rsidP="00942225">
      <w:pPr>
        <w:shd w:val="clear" w:color="auto" w:fill="FFFFFF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it-IT"/>
        </w:rPr>
      </w:pPr>
      <w:r w:rsidRPr="00942225">
        <w:rPr>
          <w:rFonts w:ascii="Arial" w:eastAsia="Times New Roman" w:hAnsi="Arial" w:cs="Arial"/>
          <w:b/>
          <w:bCs/>
          <w:caps/>
          <w:color w:val="9AADDC"/>
          <w:sz w:val="23"/>
          <w:szCs w:val="23"/>
          <w:lang w:eastAsia="it-IT"/>
        </w:rPr>
        <w:t> </w:t>
      </w:r>
    </w:p>
    <w:p w14:paraId="59F916A9" w14:textId="4EEBE416" w:rsidR="00174C9E" w:rsidRPr="00942225" w:rsidRDefault="00616BA2" w:rsidP="00942225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222222"/>
          <w:sz w:val="23"/>
          <w:szCs w:val="23"/>
          <w:lang w:eastAsia="it-IT"/>
        </w:rPr>
      </w:pPr>
      <w:r w:rsidRPr="00942225">
        <w:rPr>
          <w:rFonts w:ascii="Arial" w:eastAsia="Times New Roman" w:hAnsi="Arial" w:cs="Arial"/>
          <w:b/>
          <w:bCs/>
          <w:color w:val="222222"/>
          <w:sz w:val="23"/>
          <w:szCs w:val="23"/>
          <w:lang w:eastAsia="it-IT"/>
        </w:rPr>
        <w:t>SUPERBONUS: COMMERCIALISTI, DIMEZZARE A 5 ANNI L’IMPONIBILITÀ SUGLI IMMOBILI</w:t>
      </w:r>
    </w:p>
    <w:p w14:paraId="4619780A" w14:textId="77777777" w:rsidR="00942225" w:rsidRPr="00942225" w:rsidRDefault="00942225" w:rsidP="00942225">
      <w:pPr>
        <w:shd w:val="clear" w:color="auto" w:fill="FFFFFF"/>
        <w:jc w:val="center"/>
        <w:rPr>
          <w:rFonts w:ascii="Calibri" w:eastAsia="Times New Roman" w:hAnsi="Calibri" w:cs="Calibri"/>
          <w:color w:val="222222"/>
          <w:sz w:val="23"/>
          <w:szCs w:val="23"/>
          <w:lang w:eastAsia="it-IT"/>
        </w:rPr>
      </w:pPr>
    </w:p>
    <w:p w14:paraId="43E7325A" w14:textId="77777777" w:rsidR="00174C9E" w:rsidRDefault="00174C9E" w:rsidP="00942225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222222"/>
          <w:sz w:val="23"/>
          <w:szCs w:val="23"/>
          <w:lang w:eastAsia="it-IT"/>
        </w:rPr>
      </w:pPr>
      <w:r w:rsidRPr="00942225">
        <w:rPr>
          <w:rFonts w:ascii="Arial" w:eastAsia="Times New Roman" w:hAnsi="Arial" w:cs="Arial"/>
          <w:b/>
          <w:bCs/>
          <w:color w:val="222222"/>
          <w:sz w:val="23"/>
          <w:szCs w:val="23"/>
          <w:lang w:eastAsia="it-IT"/>
        </w:rPr>
        <w:t>Audizione parlamentare del Consiglio nazionale sulla Manovra. Proposte anche norme di interpretazione autentica per ridurre il rischio di contenzioso tra imprese e committenti per gli interventi non ultimati entro il 2023</w:t>
      </w:r>
    </w:p>
    <w:p w14:paraId="3CE0FE25" w14:textId="77777777" w:rsidR="00A9794F" w:rsidRPr="00942225" w:rsidRDefault="00A9794F" w:rsidP="00942225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222222"/>
          <w:sz w:val="23"/>
          <w:szCs w:val="23"/>
          <w:lang w:eastAsia="it-IT"/>
        </w:rPr>
      </w:pPr>
    </w:p>
    <w:p w14:paraId="2B261699" w14:textId="4A6B56D3" w:rsidR="00174C9E" w:rsidRPr="00942225" w:rsidRDefault="00174C9E" w:rsidP="00942225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3"/>
          <w:szCs w:val="23"/>
          <w:lang w:eastAsia="it-IT"/>
        </w:rPr>
      </w:pPr>
      <w:r w:rsidRPr="00942225">
        <w:rPr>
          <w:rFonts w:ascii="Arial" w:eastAsia="Times New Roman" w:hAnsi="Arial" w:cs="Arial"/>
          <w:i/>
          <w:iCs/>
          <w:color w:val="222222"/>
          <w:sz w:val="23"/>
          <w:szCs w:val="23"/>
          <w:lang w:eastAsia="it-IT"/>
        </w:rPr>
        <w:t>Roma, 9 novembre 2023 –</w:t>
      </w:r>
      <w:r w:rsidRPr="00942225">
        <w:rPr>
          <w:rFonts w:ascii="Arial" w:eastAsia="Times New Roman" w:hAnsi="Arial" w:cs="Arial"/>
          <w:color w:val="222222"/>
          <w:sz w:val="23"/>
          <w:szCs w:val="23"/>
          <w:lang w:eastAsia="it-IT"/>
        </w:rPr>
        <w:t> </w:t>
      </w:r>
      <w:r w:rsidRPr="00942225">
        <w:rPr>
          <w:rFonts w:ascii="Arial" w:eastAsia="Times New Roman" w:hAnsi="Arial" w:cs="Arial"/>
          <w:b/>
          <w:bCs/>
          <w:color w:val="222222"/>
          <w:sz w:val="23"/>
          <w:szCs w:val="23"/>
          <w:lang w:eastAsia="it-IT"/>
        </w:rPr>
        <w:t>Espungere</w:t>
      </w:r>
      <w:r w:rsidRPr="00942225">
        <w:rPr>
          <w:rFonts w:ascii="Arial" w:eastAsia="Times New Roman" w:hAnsi="Arial" w:cs="Arial"/>
          <w:color w:val="222222"/>
          <w:sz w:val="23"/>
          <w:szCs w:val="23"/>
          <w:lang w:eastAsia="it-IT"/>
        </w:rPr>
        <w:t xml:space="preserve"> la norma che prevede l'imponibilità in un arco temporale di </w:t>
      </w:r>
      <w:r w:rsidRPr="00942225">
        <w:rPr>
          <w:rFonts w:ascii="Arial" w:eastAsia="Times New Roman" w:hAnsi="Arial" w:cs="Arial"/>
          <w:b/>
          <w:bCs/>
          <w:color w:val="222222"/>
          <w:sz w:val="23"/>
          <w:szCs w:val="23"/>
          <w:lang w:eastAsia="it-IT"/>
        </w:rPr>
        <w:t>dieci anni</w:t>
      </w:r>
      <w:r w:rsidRPr="00942225">
        <w:rPr>
          <w:rFonts w:ascii="Arial" w:eastAsia="Times New Roman" w:hAnsi="Arial" w:cs="Arial"/>
          <w:color w:val="222222"/>
          <w:sz w:val="23"/>
          <w:szCs w:val="23"/>
          <w:lang w:eastAsia="it-IT"/>
        </w:rPr>
        <w:t xml:space="preserve"> per gli immobili oggetto di </w:t>
      </w:r>
      <w:r w:rsidRPr="00942225">
        <w:rPr>
          <w:rFonts w:ascii="Arial" w:eastAsia="Times New Roman" w:hAnsi="Arial" w:cs="Arial"/>
          <w:b/>
          <w:bCs/>
          <w:color w:val="222222"/>
          <w:sz w:val="23"/>
          <w:szCs w:val="23"/>
          <w:lang w:eastAsia="it-IT"/>
        </w:rPr>
        <w:t>interventi agevolati</w:t>
      </w:r>
      <w:r w:rsidRPr="00942225">
        <w:rPr>
          <w:rFonts w:ascii="Arial" w:eastAsia="Times New Roman" w:hAnsi="Arial" w:cs="Arial"/>
          <w:color w:val="222222"/>
          <w:sz w:val="23"/>
          <w:szCs w:val="23"/>
          <w:lang w:eastAsia="it-IT"/>
        </w:rPr>
        <w:t xml:space="preserve"> con il Superbonus o, quanto meno, </w:t>
      </w:r>
      <w:r w:rsidRPr="00942225">
        <w:rPr>
          <w:rFonts w:ascii="Arial" w:eastAsia="Times New Roman" w:hAnsi="Arial" w:cs="Arial"/>
          <w:b/>
          <w:bCs/>
          <w:color w:val="222222"/>
          <w:sz w:val="23"/>
          <w:szCs w:val="23"/>
          <w:lang w:eastAsia="it-IT"/>
        </w:rPr>
        <w:t>ridimensionarne</w:t>
      </w:r>
      <w:r w:rsidRPr="00942225">
        <w:rPr>
          <w:rFonts w:ascii="Arial" w:eastAsia="Times New Roman" w:hAnsi="Arial" w:cs="Arial"/>
          <w:color w:val="222222"/>
          <w:sz w:val="23"/>
          <w:szCs w:val="23"/>
          <w:lang w:eastAsia="it-IT"/>
        </w:rPr>
        <w:t xml:space="preserve"> l'ambito temporale di operatività a </w:t>
      </w:r>
      <w:r w:rsidRPr="00942225">
        <w:rPr>
          <w:rFonts w:ascii="Arial" w:eastAsia="Times New Roman" w:hAnsi="Arial" w:cs="Arial"/>
          <w:b/>
          <w:bCs/>
          <w:color w:val="222222"/>
          <w:sz w:val="23"/>
          <w:szCs w:val="23"/>
          <w:lang w:eastAsia="it-IT"/>
        </w:rPr>
        <w:t>5 anni</w:t>
      </w:r>
      <w:r w:rsidRPr="00942225">
        <w:rPr>
          <w:rFonts w:ascii="Arial" w:eastAsia="Times New Roman" w:hAnsi="Arial" w:cs="Arial"/>
          <w:color w:val="222222"/>
          <w:sz w:val="23"/>
          <w:szCs w:val="23"/>
          <w:lang w:eastAsia="it-IT"/>
        </w:rPr>
        <w:t xml:space="preserve">. È la proposta avanzata dal </w:t>
      </w:r>
      <w:r w:rsidRPr="00942225">
        <w:rPr>
          <w:rFonts w:ascii="Arial" w:eastAsia="Times New Roman" w:hAnsi="Arial" w:cs="Arial"/>
          <w:b/>
          <w:bCs/>
          <w:color w:val="222222"/>
          <w:sz w:val="23"/>
          <w:szCs w:val="23"/>
          <w:lang w:eastAsia="it-IT"/>
        </w:rPr>
        <w:t>Consiglio nazionale dei commercialisti</w:t>
      </w:r>
      <w:r w:rsidRPr="00942225">
        <w:rPr>
          <w:rFonts w:ascii="Arial" w:eastAsia="Times New Roman" w:hAnsi="Arial" w:cs="Arial"/>
          <w:color w:val="222222"/>
          <w:sz w:val="23"/>
          <w:szCs w:val="23"/>
          <w:lang w:eastAsia="it-IT"/>
        </w:rPr>
        <w:t xml:space="preserve"> in un’audizione sulla legge di Bilancio tenutasi presso le commissioni Bilancio di Camera e Senato, riunite in seduta congiunta.</w:t>
      </w:r>
      <w:r w:rsidR="00A9794F">
        <w:rPr>
          <w:rFonts w:ascii="Arial" w:eastAsia="Times New Roman" w:hAnsi="Arial" w:cs="Arial"/>
          <w:color w:val="222222"/>
          <w:sz w:val="23"/>
          <w:szCs w:val="23"/>
          <w:lang w:eastAsia="it-IT"/>
        </w:rPr>
        <w:t xml:space="preserve"> </w:t>
      </w:r>
      <w:r w:rsidRPr="00942225">
        <w:rPr>
          <w:rFonts w:ascii="Arial" w:eastAsia="Times New Roman" w:hAnsi="Arial" w:cs="Arial"/>
          <w:color w:val="222222"/>
          <w:sz w:val="23"/>
          <w:szCs w:val="23"/>
          <w:lang w:eastAsia="it-IT"/>
        </w:rPr>
        <w:t xml:space="preserve">Secondo i commercialisti si tratta di un intervento normativo che “pur disponendo per il futuro, ha il </w:t>
      </w:r>
      <w:r w:rsidRPr="00942225">
        <w:rPr>
          <w:rFonts w:ascii="Arial" w:eastAsia="Times New Roman" w:hAnsi="Arial" w:cs="Arial"/>
          <w:b/>
          <w:bCs/>
          <w:color w:val="222222"/>
          <w:sz w:val="23"/>
          <w:szCs w:val="23"/>
          <w:lang w:eastAsia="it-IT"/>
        </w:rPr>
        <w:t>retrogusto amaro della retroattività</w:t>
      </w:r>
      <w:r w:rsidRPr="00942225">
        <w:rPr>
          <w:rFonts w:ascii="Arial" w:eastAsia="Times New Roman" w:hAnsi="Arial" w:cs="Arial"/>
          <w:color w:val="222222"/>
          <w:sz w:val="23"/>
          <w:szCs w:val="23"/>
          <w:lang w:eastAsia="it-IT"/>
        </w:rPr>
        <w:t xml:space="preserve"> e si pone evidentemente in contrasto con il principio del </w:t>
      </w:r>
      <w:r w:rsidRPr="00942225">
        <w:rPr>
          <w:rFonts w:ascii="Arial" w:eastAsia="Times New Roman" w:hAnsi="Arial" w:cs="Arial"/>
          <w:b/>
          <w:bCs/>
          <w:color w:val="222222"/>
          <w:sz w:val="23"/>
          <w:szCs w:val="23"/>
          <w:lang w:eastAsia="it-IT"/>
        </w:rPr>
        <w:t>legittimo affidamento</w:t>
      </w:r>
      <w:r w:rsidRPr="00942225">
        <w:rPr>
          <w:rFonts w:ascii="Arial" w:eastAsia="Times New Roman" w:hAnsi="Arial" w:cs="Arial"/>
          <w:color w:val="222222"/>
          <w:sz w:val="23"/>
          <w:szCs w:val="23"/>
          <w:lang w:eastAsia="it-IT"/>
        </w:rPr>
        <w:t xml:space="preserve"> del contribuente, per cui non risponde al modello ideale da seguire per l'introduzione di nuovi presupposti impositivi”.</w:t>
      </w:r>
    </w:p>
    <w:p w14:paraId="0965BE1E" w14:textId="77777777" w:rsidR="00942225" w:rsidRPr="00942225" w:rsidRDefault="00942225" w:rsidP="00942225">
      <w:pPr>
        <w:shd w:val="clear" w:color="auto" w:fill="FFFFFF"/>
        <w:jc w:val="both"/>
        <w:rPr>
          <w:rFonts w:ascii="Calibri" w:eastAsia="Times New Roman" w:hAnsi="Calibri" w:cs="Calibri"/>
          <w:color w:val="222222"/>
          <w:sz w:val="23"/>
          <w:szCs w:val="23"/>
          <w:lang w:eastAsia="it-IT"/>
        </w:rPr>
      </w:pPr>
    </w:p>
    <w:p w14:paraId="6F3DB708" w14:textId="7E99EF6F" w:rsidR="00174C9E" w:rsidRPr="00942225" w:rsidRDefault="00174C9E" w:rsidP="00942225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3"/>
          <w:szCs w:val="23"/>
          <w:lang w:eastAsia="it-IT"/>
        </w:rPr>
      </w:pPr>
      <w:r w:rsidRPr="00942225">
        <w:rPr>
          <w:rFonts w:ascii="Arial" w:eastAsia="Times New Roman" w:hAnsi="Arial" w:cs="Arial"/>
          <w:color w:val="222222"/>
          <w:sz w:val="23"/>
          <w:szCs w:val="23"/>
          <w:lang w:eastAsia="it-IT"/>
        </w:rPr>
        <w:t xml:space="preserve">“La previsione dell'imponibilità delle plusvalenze relative a immobili oggetto di interventi agevolati con il Superbonus – hanno affermato </w:t>
      </w:r>
      <w:r w:rsidR="00942225">
        <w:rPr>
          <w:rFonts w:ascii="Arial" w:eastAsia="Times New Roman" w:hAnsi="Arial" w:cs="Arial"/>
          <w:color w:val="222222"/>
          <w:sz w:val="23"/>
          <w:szCs w:val="23"/>
          <w:lang w:eastAsia="it-IT"/>
        </w:rPr>
        <w:t>–</w:t>
      </w:r>
      <w:r w:rsidRPr="00942225">
        <w:rPr>
          <w:rFonts w:ascii="Arial" w:eastAsia="Times New Roman" w:hAnsi="Arial" w:cs="Arial"/>
          <w:color w:val="222222"/>
          <w:sz w:val="23"/>
          <w:szCs w:val="23"/>
          <w:lang w:eastAsia="it-IT"/>
        </w:rPr>
        <w:t xml:space="preserve"> se limitata ai casi in cui gli stessi siano ceduti entro 5 anni dall'ultimazione di tali interventi – con esclusione degli immobili ricevuti per successione e di quelli che durante tale periodo siano stati adibiti ad abitazione principale del cedente o dei suoi familiari per la maggior parte del tempo – potrebbe comunque essere riconosciuta come </w:t>
      </w:r>
      <w:r w:rsidRPr="00942225">
        <w:rPr>
          <w:rFonts w:ascii="Arial" w:eastAsia="Times New Roman" w:hAnsi="Arial" w:cs="Arial"/>
          <w:b/>
          <w:bCs/>
          <w:color w:val="222222"/>
          <w:sz w:val="23"/>
          <w:szCs w:val="23"/>
          <w:lang w:eastAsia="it-IT"/>
        </w:rPr>
        <w:t>a suo modo sistematica</w:t>
      </w:r>
      <w:r w:rsidRPr="00942225">
        <w:rPr>
          <w:rFonts w:ascii="Arial" w:eastAsia="Times New Roman" w:hAnsi="Arial" w:cs="Arial"/>
          <w:color w:val="222222"/>
          <w:sz w:val="23"/>
          <w:szCs w:val="23"/>
          <w:lang w:eastAsia="it-IT"/>
        </w:rPr>
        <w:t xml:space="preserve"> rispetto all'attuale previsione, sempre nell'ambito dei redditi diversi, dell'imponibilità delle plusvalenze relative agli immobili rivenduti prima che siano trascorsi 5 anni dalla loro acquisizione”.</w:t>
      </w:r>
    </w:p>
    <w:p w14:paraId="3B7908DF" w14:textId="77777777" w:rsidR="00942225" w:rsidRPr="00942225" w:rsidRDefault="00942225" w:rsidP="00942225">
      <w:pPr>
        <w:shd w:val="clear" w:color="auto" w:fill="FFFFFF"/>
        <w:jc w:val="both"/>
        <w:rPr>
          <w:rFonts w:ascii="Calibri" w:eastAsia="Times New Roman" w:hAnsi="Calibri" w:cs="Calibri"/>
          <w:color w:val="222222"/>
          <w:sz w:val="23"/>
          <w:szCs w:val="23"/>
          <w:lang w:eastAsia="it-IT"/>
        </w:rPr>
      </w:pPr>
    </w:p>
    <w:p w14:paraId="2DA3AABD" w14:textId="4ED41E46" w:rsidR="00174C9E" w:rsidRPr="00942225" w:rsidRDefault="00174C9E" w:rsidP="00942225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3"/>
          <w:szCs w:val="23"/>
          <w:lang w:eastAsia="it-IT"/>
        </w:rPr>
      </w:pPr>
      <w:r w:rsidRPr="00942225">
        <w:rPr>
          <w:rFonts w:ascii="Arial" w:eastAsia="Times New Roman" w:hAnsi="Arial" w:cs="Arial"/>
          <w:color w:val="222222"/>
          <w:sz w:val="23"/>
          <w:szCs w:val="23"/>
          <w:lang w:eastAsia="it-IT"/>
        </w:rPr>
        <w:t xml:space="preserve">“La scelta del legislatore – hanno aggiunto </w:t>
      </w:r>
      <w:r w:rsidR="00942225">
        <w:rPr>
          <w:rFonts w:ascii="Arial" w:eastAsia="Times New Roman" w:hAnsi="Arial" w:cs="Arial"/>
          <w:color w:val="222222"/>
          <w:sz w:val="23"/>
          <w:szCs w:val="23"/>
          <w:lang w:eastAsia="it-IT"/>
        </w:rPr>
        <w:t>–</w:t>
      </w:r>
      <w:r w:rsidRPr="00942225">
        <w:rPr>
          <w:rFonts w:ascii="Arial" w:eastAsia="Times New Roman" w:hAnsi="Arial" w:cs="Arial"/>
          <w:color w:val="222222"/>
          <w:sz w:val="23"/>
          <w:szCs w:val="23"/>
          <w:lang w:eastAsia="it-IT"/>
        </w:rPr>
        <w:t xml:space="preserve"> è stata però quella di prevedere l'imponibilità in un arco temporale doppio, pari a </w:t>
      </w:r>
      <w:r w:rsidR="00A9794F" w:rsidRPr="00942225">
        <w:rPr>
          <w:rFonts w:ascii="Arial" w:eastAsia="Times New Roman" w:hAnsi="Arial" w:cs="Arial"/>
          <w:color w:val="222222"/>
          <w:sz w:val="23"/>
          <w:szCs w:val="23"/>
          <w:lang w:eastAsia="it-IT"/>
        </w:rPr>
        <w:t>dieci</w:t>
      </w:r>
      <w:r w:rsidRPr="00942225">
        <w:rPr>
          <w:rFonts w:ascii="Arial" w:eastAsia="Times New Roman" w:hAnsi="Arial" w:cs="Arial"/>
          <w:color w:val="222222"/>
          <w:sz w:val="23"/>
          <w:szCs w:val="23"/>
          <w:lang w:eastAsia="it-IT"/>
        </w:rPr>
        <w:t xml:space="preserve"> anni. Una scelta che non sembra trovare giustificazione se non in una certa volontà di </w:t>
      </w:r>
      <w:r w:rsidRPr="00942225">
        <w:rPr>
          <w:rFonts w:ascii="Arial" w:eastAsia="Times New Roman" w:hAnsi="Arial" w:cs="Arial"/>
          <w:b/>
          <w:bCs/>
          <w:color w:val="222222"/>
          <w:sz w:val="23"/>
          <w:szCs w:val="23"/>
          <w:lang w:eastAsia="it-IT"/>
        </w:rPr>
        <w:t xml:space="preserve">colpire </w:t>
      </w:r>
      <w:r w:rsidRPr="00942225">
        <w:rPr>
          <w:rFonts w:ascii="Arial" w:eastAsia="Times New Roman" w:hAnsi="Arial" w:cs="Arial"/>
          <w:color w:val="222222"/>
          <w:sz w:val="23"/>
          <w:szCs w:val="23"/>
          <w:lang w:eastAsia="it-IT"/>
        </w:rPr>
        <w:t xml:space="preserve">chi, in ultima analisi, ha semplicemente fruito di una opportunità che lo stesso </w:t>
      </w:r>
      <w:r w:rsidRPr="00942225">
        <w:rPr>
          <w:rFonts w:ascii="Arial" w:eastAsia="Times New Roman" w:hAnsi="Arial" w:cs="Arial"/>
          <w:b/>
          <w:bCs/>
          <w:color w:val="222222"/>
          <w:sz w:val="23"/>
          <w:szCs w:val="23"/>
          <w:lang w:eastAsia="it-IT"/>
        </w:rPr>
        <w:t>legislatore</w:t>
      </w:r>
      <w:r w:rsidRPr="00942225">
        <w:rPr>
          <w:rFonts w:ascii="Arial" w:eastAsia="Times New Roman" w:hAnsi="Arial" w:cs="Arial"/>
          <w:color w:val="222222"/>
          <w:sz w:val="23"/>
          <w:szCs w:val="23"/>
          <w:lang w:eastAsia="it-IT"/>
        </w:rPr>
        <w:t xml:space="preserve"> gli aveva offerto, in relazione a immobili diversi da quelli ricevuti per successione o adibiti ad abitazione principale. Sotto quest'ultimo profilo, le perplessità sono ancora più evidenti se si considera che la misura </w:t>
      </w:r>
      <w:r w:rsidRPr="00942225">
        <w:rPr>
          <w:rFonts w:ascii="Arial" w:eastAsia="Times New Roman" w:hAnsi="Arial" w:cs="Arial"/>
          <w:b/>
          <w:bCs/>
          <w:color w:val="222222"/>
          <w:sz w:val="23"/>
          <w:szCs w:val="23"/>
          <w:lang w:eastAsia="it-IT"/>
        </w:rPr>
        <w:t>non viene cifrata in relazione tecnica</w:t>
      </w:r>
      <w:r w:rsidRPr="00942225">
        <w:rPr>
          <w:rFonts w:ascii="Arial" w:eastAsia="Times New Roman" w:hAnsi="Arial" w:cs="Arial"/>
          <w:color w:val="222222"/>
          <w:sz w:val="23"/>
          <w:szCs w:val="23"/>
          <w:lang w:eastAsia="it-IT"/>
        </w:rPr>
        <w:t xml:space="preserve"> e quindi non risponde nemmeno all'esigenza, discutibile, ma comprensibile, di reperire </w:t>
      </w:r>
      <w:r w:rsidRPr="00942225">
        <w:rPr>
          <w:rFonts w:ascii="Arial" w:eastAsia="Times New Roman" w:hAnsi="Arial" w:cs="Arial"/>
          <w:b/>
          <w:bCs/>
          <w:color w:val="222222"/>
          <w:sz w:val="23"/>
          <w:szCs w:val="23"/>
          <w:lang w:eastAsia="it-IT"/>
        </w:rPr>
        <w:t>coperture finanziarie</w:t>
      </w:r>
      <w:r w:rsidRPr="00942225">
        <w:rPr>
          <w:rFonts w:ascii="Arial" w:eastAsia="Times New Roman" w:hAnsi="Arial" w:cs="Arial"/>
          <w:color w:val="222222"/>
          <w:sz w:val="23"/>
          <w:szCs w:val="23"/>
          <w:lang w:eastAsia="it-IT"/>
        </w:rPr>
        <w:t xml:space="preserve"> per altri provvedimenti di maggiore spesa o di minore entrata presenti nella manovra. Per queste ragioni, invitiamo il legislatore – ove non ritenesse di espungere integralmente la misura – a ridimensionarne, quanto meno, l'ambito temporale di operatività a </w:t>
      </w:r>
      <w:r w:rsidR="00A9794F" w:rsidRPr="00942225">
        <w:rPr>
          <w:rFonts w:ascii="Arial" w:eastAsia="Times New Roman" w:hAnsi="Arial" w:cs="Arial"/>
          <w:color w:val="222222"/>
          <w:sz w:val="23"/>
          <w:szCs w:val="23"/>
          <w:lang w:eastAsia="it-IT"/>
        </w:rPr>
        <w:t>cinque</w:t>
      </w:r>
      <w:r w:rsidRPr="00942225">
        <w:rPr>
          <w:rFonts w:ascii="Arial" w:eastAsia="Times New Roman" w:hAnsi="Arial" w:cs="Arial"/>
          <w:color w:val="222222"/>
          <w:sz w:val="23"/>
          <w:szCs w:val="23"/>
          <w:lang w:eastAsia="it-IT"/>
        </w:rPr>
        <w:t xml:space="preserve"> anni”.</w:t>
      </w:r>
    </w:p>
    <w:p w14:paraId="5B37B911" w14:textId="77777777" w:rsidR="00942225" w:rsidRPr="00942225" w:rsidRDefault="00942225" w:rsidP="00942225">
      <w:pPr>
        <w:shd w:val="clear" w:color="auto" w:fill="FFFFFF"/>
        <w:jc w:val="both"/>
        <w:rPr>
          <w:rFonts w:ascii="Calibri" w:eastAsia="Times New Roman" w:hAnsi="Calibri" w:cs="Calibri"/>
          <w:color w:val="222222"/>
          <w:sz w:val="23"/>
          <w:szCs w:val="23"/>
          <w:lang w:eastAsia="it-IT"/>
        </w:rPr>
      </w:pPr>
    </w:p>
    <w:p w14:paraId="3652E33B" w14:textId="206D11B4" w:rsidR="00F85E4E" w:rsidRPr="001828AE" w:rsidRDefault="00174C9E" w:rsidP="00A9794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942225">
        <w:rPr>
          <w:rFonts w:ascii="Arial" w:eastAsia="Times New Roman" w:hAnsi="Arial" w:cs="Arial"/>
          <w:color w:val="222222"/>
          <w:sz w:val="23"/>
          <w:szCs w:val="23"/>
          <w:lang w:eastAsia="it-IT"/>
        </w:rPr>
        <w:t>Nel corso dell’audizione, il Consiglio nazionale, sempre in materia di Superbonus, ha anche proposto </w:t>
      </w:r>
      <w:bookmarkStart w:id="0" w:name="m_6827129587533836125_x__Toc150437482"/>
      <w:r w:rsidRPr="00942225">
        <w:rPr>
          <w:rFonts w:ascii="Arial" w:eastAsia="Times New Roman" w:hAnsi="Arial" w:cs="Arial"/>
          <w:color w:val="222222"/>
          <w:sz w:val="23"/>
          <w:szCs w:val="23"/>
          <w:lang w:eastAsia="it-IT"/>
        </w:rPr>
        <w:t>alcune</w:t>
      </w:r>
      <w:r w:rsidR="009964F0" w:rsidRPr="00942225">
        <w:rPr>
          <w:rFonts w:ascii="Arial" w:eastAsia="Times New Roman" w:hAnsi="Arial" w:cs="Arial"/>
          <w:color w:val="222222"/>
          <w:sz w:val="23"/>
          <w:szCs w:val="23"/>
          <w:lang w:eastAsia="it-IT"/>
        </w:rPr>
        <w:t xml:space="preserve"> </w:t>
      </w:r>
      <w:r w:rsidRPr="00942225">
        <w:rPr>
          <w:rFonts w:ascii="Arial" w:eastAsia="Times New Roman" w:hAnsi="Arial" w:cs="Arial"/>
          <w:b/>
          <w:bCs/>
          <w:color w:val="222222"/>
          <w:sz w:val="23"/>
          <w:szCs w:val="23"/>
          <w:lang w:eastAsia="it-IT"/>
        </w:rPr>
        <w:t>norme di interpretazione autentica</w:t>
      </w:r>
      <w:r w:rsidRPr="00942225">
        <w:rPr>
          <w:rFonts w:ascii="Arial" w:eastAsia="Times New Roman" w:hAnsi="Arial" w:cs="Arial"/>
          <w:color w:val="222222"/>
          <w:sz w:val="23"/>
          <w:szCs w:val="23"/>
          <w:lang w:eastAsia="it-IT"/>
        </w:rPr>
        <w:t> </w:t>
      </w:r>
      <w:bookmarkEnd w:id="0"/>
      <w:r w:rsidRPr="00942225">
        <w:rPr>
          <w:rFonts w:ascii="Arial" w:eastAsia="Times New Roman" w:hAnsi="Arial" w:cs="Arial"/>
          <w:color w:val="222222"/>
          <w:sz w:val="23"/>
          <w:szCs w:val="23"/>
          <w:lang w:eastAsia="it-IT"/>
        </w:rPr>
        <w:t xml:space="preserve">finalizzate a ridurre il rischio di </w:t>
      </w:r>
      <w:r w:rsidRPr="00942225">
        <w:rPr>
          <w:rFonts w:ascii="Arial" w:eastAsia="Times New Roman" w:hAnsi="Arial" w:cs="Arial"/>
          <w:b/>
          <w:bCs/>
          <w:color w:val="222222"/>
          <w:sz w:val="23"/>
          <w:szCs w:val="23"/>
          <w:lang w:eastAsia="it-IT"/>
        </w:rPr>
        <w:t>contenzioso</w:t>
      </w:r>
      <w:r w:rsidRPr="00942225">
        <w:rPr>
          <w:rFonts w:ascii="Arial" w:eastAsia="Times New Roman" w:hAnsi="Arial" w:cs="Arial"/>
          <w:color w:val="222222"/>
          <w:sz w:val="23"/>
          <w:szCs w:val="23"/>
          <w:lang w:eastAsia="it-IT"/>
        </w:rPr>
        <w:t xml:space="preserve"> tra imprese e committenti dovuto alla riduzione </w:t>
      </w:r>
      <w:r w:rsidRPr="0094222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it-IT"/>
        </w:rPr>
        <w:t>dell’agevolazione</w:t>
      </w:r>
      <w:r w:rsidRPr="00942225">
        <w:rPr>
          <w:rFonts w:ascii="Arial" w:eastAsia="Times New Roman" w:hAnsi="Arial" w:cs="Arial"/>
          <w:color w:val="222222"/>
          <w:sz w:val="23"/>
          <w:szCs w:val="23"/>
          <w:lang w:eastAsia="it-IT"/>
        </w:rPr>
        <w:t>, nel 2024, al 70% in relazione a tutti quegli interventi che alla data del 31 dicembre 2023, pur in avanzata esecuzione, non risultassero ancora ultimati</w:t>
      </w:r>
      <w:r w:rsidR="00A9794F">
        <w:rPr>
          <w:rFonts w:ascii="Arial" w:eastAsia="Times New Roman" w:hAnsi="Arial" w:cs="Arial"/>
          <w:color w:val="222222"/>
          <w:sz w:val="23"/>
          <w:szCs w:val="23"/>
          <w:lang w:eastAsia="it-IT"/>
        </w:rPr>
        <w:t>.</w:t>
      </w:r>
    </w:p>
    <w:sectPr w:rsidR="00F85E4E" w:rsidRPr="001828A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01841" w14:textId="77777777" w:rsidR="00D07D67" w:rsidRDefault="00D07D67" w:rsidP="00A25D50">
      <w:r>
        <w:separator/>
      </w:r>
    </w:p>
  </w:endnote>
  <w:endnote w:type="continuationSeparator" w:id="0">
    <w:p w14:paraId="03ED1560" w14:textId="77777777" w:rsidR="00D07D67" w:rsidRDefault="00D07D67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8DFEE" w14:textId="77777777" w:rsidR="00D07D67" w:rsidRDefault="00D07D67" w:rsidP="00A25D50">
      <w:r>
        <w:separator/>
      </w:r>
    </w:p>
  </w:footnote>
  <w:footnote w:type="continuationSeparator" w:id="0">
    <w:p w14:paraId="10A4052B" w14:textId="77777777" w:rsidR="00D07D67" w:rsidRDefault="00D07D67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776E30DD" w:rsidR="003B37B2" w:rsidRPr="005816F1" w:rsidRDefault="004E3EC6" w:rsidP="004E3EC6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595580B3" wp14:editId="284DCDD6">
          <wp:extent cx="2926080" cy="993913"/>
          <wp:effectExtent l="0" t="0" r="0" b="0"/>
          <wp:docPr id="2112599317" name="Immagine 2112599317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A39F4"/>
    <w:multiLevelType w:val="hybridMultilevel"/>
    <w:tmpl w:val="F2683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028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0"/>
    <w:rsid w:val="00007C23"/>
    <w:rsid w:val="00012E93"/>
    <w:rsid w:val="00027BE3"/>
    <w:rsid w:val="00041437"/>
    <w:rsid w:val="00051B2D"/>
    <w:rsid w:val="000555C2"/>
    <w:rsid w:val="00055C12"/>
    <w:rsid w:val="00055F8A"/>
    <w:rsid w:val="000573AE"/>
    <w:rsid w:val="00071CF9"/>
    <w:rsid w:val="00074F9D"/>
    <w:rsid w:val="00080E29"/>
    <w:rsid w:val="0009108B"/>
    <w:rsid w:val="000A1238"/>
    <w:rsid w:val="000A3C95"/>
    <w:rsid w:val="000A3D02"/>
    <w:rsid w:val="000B23B8"/>
    <w:rsid w:val="000C4581"/>
    <w:rsid w:val="000D1140"/>
    <w:rsid w:val="000D46D2"/>
    <w:rsid w:val="000E5717"/>
    <w:rsid w:val="000F1CA8"/>
    <w:rsid w:val="000F659E"/>
    <w:rsid w:val="001072C8"/>
    <w:rsid w:val="00111CF5"/>
    <w:rsid w:val="00127A00"/>
    <w:rsid w:val="00136CF7"/>
    <w:rsid w:val="001447D0"/>
    <w:rsid w:val="00164C51"/>
    <w:rsid w:val="00174C9E"/>
    <w:rsid w:val="00177F55"/>
    <w:rsid w:val="001828AE"/>
    <w:rsid w:val="0018410F"/>
    <w:rsid w:val="001A0044"/>
    <w:rsid w:val="001A72B2"/>
    <w:rsid w:val="001B66AB"/>
    <w:rsid w:val="001C105A"/>
    <w:rsid w:val="001C4D6B"/>
    <w:rsid w:val="001D3F66"/>
    <w:rsid w:val="001D48AE"/>
    <w:rsid w:val="001E0307"/>
    <w:rsid w:val="001E2682"/>
    <w:rsid w:val="001E4EF0"/>
    <w:rsid w:val="001F21E4"/>
    <w:rsid w:val="001F399E"/>
    <w:rsid w:val="001F4202"/>
    <w:rsid w:val="0020469F"/>
    <w:rsid w:val="00204F62"/>
    <w:rsid w:val="00216437"/>
    <w:rsid w:val="0022126A"/>
    <w:rsid w:val="0023378D"/>
    <w:rsid w:val="00237EC9"/>
    <w:rsid w:val="00243892"/>
    <w:rsid w:val="00243F31"/>
    <w:rsid w:val="00245F8E"/>
    <w:rsid w:val="002647CB"/>
    <w:rsid w:val="00267E62"/>
    <w:rsid w:val="00277377"/>
    <w:rsid w:val="002A143A"/>
    <w:rsid w:val="002A46B8"/>
    <w:rsid w:val="002A74FE"/>
    <w:rsid w:val="002B687E"/>
    <w:rsid w:val="002B7D2B"/>
    <w:rsid w:val="002E1067"/>
    <w:rsid w:val="002F0117"/>
    <w:rsid w:val="003002C5"/>
    <w:rsid w:val="0031113D"/>
    <w:rsid w:val="00333A0F"/>
    <w:rsid w:val="0034189F"/>
    <w:rsid w:val="00347274"/>
    <w:rsid w:val="00356418"/>
    <w:rsid w:val="00365441"/>
    <w:rsid w:val="003771AB"/>
    <w:rsid w:val="00382DCB"/>
    <w:rsid w:val="00394F50"/>
    <w:rsid w:val="00396E64"/>
    <w:rsid w:val="003A2DAE"/>
    <w:rsid w:val="003A52D9"/>
    <w:rsid w:val="003A643A"/>
    <w:rsid w:val="003A73E6"/>
    <w:rsid w:val="003B37B2"/>
    <w:rsid w:val="003E3AB2"/>
    <w:rsid w:val="00407826"/>
    <w:rsid w:val="004216E0"/>
    <w:rsid w:val="004328C7"/>
    <w:rsid w:val="00446E08"/>
    <w:rsid w:val="00463C7D"/>
    <w:rsid w:val="004812F0"/>
    <w:rsid w:val="00486CCC"/>
    <w:rsid w:val="004B1F06"/>
    <w:rsid w:val="004B7F50"/>
    <w:rsid w:val="004C59E2"/>
    <w:rsid w:val="004E00C0"/>
    <w:rsid w:val="004E34CF"/>
    <w:rsid w:val="004E3EC6"/>
    <w:rsid w:val="004F0506"/>
    <w:rsid w:val="004F6EF6"/>
    <w:rsid w:val="0050036C"/>
    <w:rsid w:val="00503FF5"/>
    <w:rsid w:val="005135B9"/>
    <w:rsid w:val="00513CFB"/>
    <w:rsid w:val="0052277C"/>
    <w:rsid w:val="0053620E"/>
    <w:rsid w:val="00537AF6"/>
    <w:rsid w:val="005409C2"/>
    <w:rsid w:val="00543803"/>
    <w:rsid w:val="00544C5E"/>
    <w:rsid w:val="0054646C"/>
    <w:rsid w:val="005503BE"/>
    <w:rsid w:val="00561CB7"/>
    <w:rsid w:val="005B64A0"/>
    <w:rsid w:val="006149CB"/>
    <w:rsid w:val="006150FC"/>
    <w:rsid w:val="00616BA2"/>
    <w:rsid w:val="00645F87"/>
    <w:rsid w:val="006559BC"/>
    <w:rsid w:val="00685BF9"/>
    <w:rsid w:val="00687D67"/>
    <w:rsid w:val="0069238F"/>
    <w:rsid w:val="00692C5A"/>
    <w:rsid w:val="006B0A61"/>
    <w:rsid w:val="006B282B"/>
    <w:rsid w:val="006B3326"/>
    <w:rsid w:val="006B5515"/>
    <w:rsid w:val="006C090E"/>
    <w:rsid w:val="006C4593"/>
    <w:rsid w:val="006C4C65"/>
    <w:rsid w:val="006D73C6"/>
    <w:rsid w:val="00713B57"/>
    <w:rsid w:val="00733833"/>
    <w:rsid w:val="00740F1F"/>
    <w:rsid w:val="007410F9"/>
    <w:rsid w:val="007451A9"/>
    <w:rsid w:val="00763CE4"/>
    <w:rsid w:val="00772CD8"/>
    <w:rsid w:val="00777FC6"/>
    <w:rsid w:val="00780F0B"/>
    <w:rsid w:val="007840AA"/>
    <w:rsid w:val="007C2A85"/>
    <w:rsid w:val="007D4BFF"/>
    <w:rsid w:val="007D5140"/>
    <w:rsid w:val="007E7258"/>
    <w:rsid w:val="0080228B"/>
    <w:rsid w:val="00803B21"/>
    <w:rsid w:val="008168D0"/>
    <w:rsid w:val="0081779E"/>
    <w:rsid w:val="00840BF8"/>
    <w:rsid w:val="008417DC"/>
    <w:rsid w:val="0088021D"/>
    <w:rsid w:val="00883612"/>
    <w:rsid w:val="00895B38"/>
    <w:rsid w:val="00897909"/>
    <w:rsid w:val="008B3982"/>
    <w:rsid w:val="008C35A0"/>
    <w:rsid w:val="008E140C"/>
    <w:rsid w:val="008E55E3"/>
    <w:rsid w:val="008F01F8"/>
    <w:rsid w:val="008F11DC"/>
    <w:rsid w:val="008F69B1"/>
    <w:rsid w:val="00901181"/>
    <w:rsid w:val="00904442"/>
    <w:rsid w:val="009357A4"/>
    <w:rsid w:val="009359D8"/>
    <w:rsid w:val="00942225"/>
    <w:rsid w:val="009558A6"/>
    <w:rsid w:val="009679A1"/>
    <w:rsid w:val="009726DC"/>
    <w:rsid w:val="0098232D"/>
    <w:rsid w:val="009964F0"/>
    <w:rsid w:val="009A61B8"/>
    <w:rsid w:val="009B6359"/>
    <w:rsid w:val="009D18CC"/>
    <w:rsid w:val="009D2456"/>
    <w:rsid w:val="00A04E4C"/>
    <w:rsid w:val="00A152C6"/>
    <w:rsid w:val="00A2361E"/>
    <w:rsid w:val="00A23A10"/>
    <w:rsid w:val="00A25D50"/>
    <w:rsid w:val="00A357E1"/>
    <w:rsid w:val="00A36955"/>
    <w:rsid w:val="00A41325"/>
    <w:rsid w:val="00A547B5"/>
    <w:rsid w:val="00A618D3"/>
    <w:rsid w:val="00A6644F"/>
    <w:rsid w:val="00A67C3B"/>
    <w:rsid w:val="00A74AA6"/>
    <w:rsid w:val="00A854AA"/>
    <w:rsid w:val="00A9794F"/>
    <w:rsid w:val="00AA28F5"/>
    <w:rsid w:val="00AA73DA"/>
    <w:rsid w:val="00AE049F"/>
    <w:rsid w:val="00AE0BB1"/>
    <w:rsid w:val="00AE2F64"/>
    <w:rsid w:val="00AE2FF1"/>
    <w:rsid w:val="00B064DC"/>
    <w:rsid w:val="00B154FD"/>
    <w:rsid w:val="00B2654F"/>
    <w:rsid w:val="00B278C1"/>
    <w:rsid w:val="00B56245"/>
    <w:rsid w:val="00B623C7"/>
    <w:rsid w:val="00B90387"/>
    <w:rsid w:val="00B93E34"/>
    <w:rsid w:val="00BA19DE"/>
    <w:rsid w:val="00BB3259"/>
    <w:rsid w:val="00BC0331"/>
    <w:rsid w:val="00BC683F"/>
    <w:rsid w:val="00BE5CB4"/>
    <w:rsid w:val="00BF6083"/>
    <w:rsid w:val="00C04C6A"/>
    <w:rsid w:val="00C11198"/>
    <w:rsid w:val="00C17EBB"/>
    <w:rsid w:val="00C17FC9"/>
    <w:rsid w:val="00C20913"/>
    <w:rsid w:val="00C25278"/>
    <w:rsid w:val="00C2586F"/>
    <w:rsid w:val="00C3730F"/>
    <w:rsid w:val="00C410B5"/>
    <w:rsid w:val="00C6302D"/>
    <w:rsid w:val="00C66A20"/>
    <w:rsid w:val="00C703AA"/>
    <w:rsid w:val="00C76BEE"/>
    <w:rsid w:val="00C80173"/>
    <w:rsid w:val="00C82382"/>
    <w:rsid w:val="00C84922"/>
    <w:rsid w:val="00C87780"/>
    <w:rsid w:val="00C974AB"/>
    <w:rsid w:val="00CC6E36"/>
    <w:rsid w:val="00CC7EDA"/>
    <w:rsid w:val="00CE2F74"/>
    <w:rsid w:val="00D07D67"/>
    <w:rsid w:val="00D31EDC"/>
    <w:rsid w:val="00D626C3"/>
    <w:rsid w:val="00D66F96"/>
    <w:rsid w:val="00D742E0"/>
    <w:rsid w:val="00D8383C"/>
    <w:rsid w:val="00D86F1A"/>
    <w:rsid w:val="00D97F3B"/>
    <w:rsid w:val="00DA0ED2"/>
    <w:rsid w:val="00DB0771"/>
    <w:rsid w:val="00DC6813"/>
    <w:rsid w:val="00DE7244"/>
    <w:rsid w:val="00DF2F2E"/>
    <w:rsid w:val="00E4100D"/>
    <w:rsid w:val="00E80398"/>
    <w:rsid w:val="00EB7B7B"/>
    <w:rsid w:val="00EC1A2D"/>
    <w:rsid w:val="00ED55FF"/>
    <w:rsid w:val="00ED7A3F"/>
    <w:rsid w:val="00EE2F69"/>
    <w:rsid w:val="00F011E8"/>
    <w:rsid w:val="00F156C0"/>
    <w:rsid w:val="00F21C61"/>
    <w:rsid w:val="00F45169"/>
    <w:rsid w:val="00F53C83"/>
    <w:rsid w:val="00F54D2A"/>
    <w:rsid w:val="00F562DB"/>
    <w:rsid w:val="00F5789E"/>
    <w:rsid w:val="00F70F2A"/>
    <w:rsid w:val="00F85E4E"/>
    <w:rsid w:val="00F8774F"/>
    <w:rsid w:val="00F910CC"/>
    <w:rsid w:val="00F970FF"/>
    <w:rsid w:val="00FB1FE4"/>
    <w:rsid w:val="00FB6832"/>
    <w:rsid w:val="00FC23F6"/>
    <w:rsid w:val="00FD5B72"/>
    <w:rsid w:val="00FD6D4F"/>
    <w:rsid w:val="00FE1C1C"/>
    <w:rsid w:val="00FF285E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docId w15:val="{1AB63A64-E29F-4F0A-BDEB-1C93A3EE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paragraph" w:styleId="Titolo1">
    <w:name w:val="heading 1"/>
    <w:basedOn w:val="Normale"/>
    <w:link w:val="Titolo1Carattere"/>
    <w:uiPriority w:val="9"/>
    <w:qFormat/>
    <w:rsid w:val="001E268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F11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447D0"/>
    <w:pPr>
      <w:ind w:left="720"/>
      <w:contextualSpacing/>
    </w:pPr>
  </w:style>
  <w:style w:type="paragraph" w:customStyle="1" w:styleId="Default">
    <w:name w:val="Default"/>
    <w:rsid w:val="004F050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F39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F399E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1F399E"/>
  </w:style>
  <w:style w:type="character" w:customStyle="1" w:styleId="Titolo1Carattere">
    <w:name w:val="Titolo 1 Carattere"/>
    <w:basedOn w:val="Carpredefinitoparagrafo"/>
    <w:link w:val="Titolo1"/>
    <w:uiPriority w:val="9"/>
    <w:rsid w:val="001E268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BC0331"/>
    <w:rPr>
      <w:b/>
      <w:bCs/>
    </w:rPr>
  </w:style>
  <w:style w:type="paragraph" w:customStyle="1" w:styleId="TitoloDocumento">
    <w:name w:val="Titolo Documento"/>
    <w:basedOn w:val="Normale"/>
    <w:qFormat/>
    <w:rsid w:val="00C04C6A"/>
    <w:pPr>
      <w:autoSpaceDE w:val="0"/>
      <w:autoSpaceDN w:val="0"/>
      <w:adjustRightInd w:val="0"/>
      <w:jc w:val="both"/>
    </w:pPr>
    <w:rPr>
      <w:rFonts w:ascii="Calibri" w:eastAsia="Calibri" w:hAnsi="Calibri" w:cs="Calibri"/>
      <w:b/>
      <w:smallCaps/>
      <w:color w:val="FFFFFF" w:themeColor="background1"/>
      <w:sz w:val="72"/>
      <w:szCs w:val="72"/>
    </w:rPr>
  </w:style>
  <w:style w:type="paragraph" w:styleId="NormaleWeb">
    <w:name w:val="Normal (Web)"/>
    <w:basedOn w:val="Normale"/>
    <w:uiPriority w:val="99"/>
    <w:unhideWhenUsed/>
    <w:rsid w:val="001072C8"/>
    <w:rPr>
      <w:rFonts w:ascii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e"/>
    <w:rsid w:val="00FB68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22126A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F11D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rpotesto">
    <w:name w:val="Body Text"/>
    <w:basedOn w:val="Normale"/>
    <w:link w:val="CorpotestoCarattere"/>
    <w:rsid w:val="00F85E4E"/>
    <w:pPr>
      <w:jc w:val="both"/>
    </w:pPr>
    <w:rPr>
      <w:rFonts w:ascii="Times New Roman" w:eastAsia="Times New Roman" w:hAnsi="Times New Roman" w:cs="Times New Roman"/>
      <w:bCs/>
      <w:color w:val="FF0000"/>
      <w:sz w:val="24"/>
      <w:szCs w:val="24"/>
      <w:lang w:val="es-ES" w:eastAsia="es-ES_tradnl"/>
    </w:rPr>
  </w:style>
  <w:style w:type="character" w:customStyle="1" w:styleId="CorpotestoCarattere">
    <w:name w:val="Corpo testo Carattere"/>
    <w:basedOn w:val="Carpredefinitoparagrafo"/>
    <w:link w:val="Corpotesto"/>
    <w:rsid w:val="00F85E4E"/>
    <w:rPr>
      <w:rFonts w:ascii="Times New Roman" w:eastAsia="Times New Roman" w:hAnsi="Times New Roman" w:cs="Times New Roman"/>
      <w:bCs/>
      <w:color w:val="FF0000"/>
      <w:sz w:val="24"/>
      <w:szCs w:val="24"/>
      <w:lang w:val="es-ES" w:eastAsia="es-ES_tradnl"/>
    </w:rPr>
  </w:style>
  <w:style w:type="paragraph" w:styleId="Corpodeltesto2">
    <w:name w:val="Body Text 2"/>
    <w:basedOn w:val="Normale"/>
    <w:link w:val="Corpodeltesto2Carattere"/>
    <w:rsid w:val="00F85E4E"/>
    <w:pPr>
      <w:jc w:val="both"/>
    </w:pPr>
    <w:rPr>
      <w:rFonts w:ascii="Times New Roman" w:eastAsia="Times New Roman" w:hAnsi="Times New Roman" w:cs="Times New Roman"/>
      <w:b/>
      <w:bCs/>
      <w:szCs w:val="24"/>
      <w:lang w:val="es-ES_tradnl" w:eastAsia="es-ES_tradnl"/>
    </w:rPr>
  </w:style>
  <w:style w:type="character" w:customStyle="1" w:styleId="Corpodeltesto2Carattere">
    <w:name w:val="Corpo del testo 2 Carattere"/>
    <w:basedOn w:val="Carpredefinitoparagrafo"/>
    <w:link w:val="Corpodeltesto2"/>
    <w:rsid w:val="00F85E4E"/>
    <w:rPr>
      <w:rFonts w:ascii="Times New Roman" w:eastAsia="Times New Roman" w:hAnsi="Times New Roman" w:cs="Times New Roman"/>
      <w:b/>
      <w:bCs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30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7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12</cp:revision>
  <cp:lastPrinted>2023-08-31T13:14:00Z</cp:lastPrinted>
  <dcterms:created xsi:type="dcterms:W3CDTF">2023-11-09T16:27:00Z</dcterms:created>
  <dcterms:modified xsi:type="dcterms:W3CDTF">2023-11-14T14:51:00Z</dcterms:modified>
</cp:coreProperties>
</file>