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E90E" w14:textId="00A4351E" w:rsidR="00B02139" w:rsidRDefault="00B02139" w:rsidP="00B02139">
      <w:pPr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Comunicato Stampa</w:t>
      </w:r>
    </w:p>
    <w:p w14:paraId="36967AB8" w14:textId="77777777" w:rsidR="00B02139" w:rsidRDefault="00B02139" w:rsidP="00B02139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F462563" w14:textId="77777777" w:rsidR="00B02139" w:rsidRDefault="00B02139" w:rsidP="00B02139">
      <w:pPr>
        <w:pStyle w:val="xp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COMMERCIALISTI: ATTENZIONE SULLE ULTIME NOVITA’ IN MATERIA DI ECONOMIA DEGLI ENTI LOCALI</w:t>
      </w:r>
    </w:p>
    <w:p w14:paraId="21153556" w14:textId="34D9E8F4" w:rsidR="00B02139" w:rsidRDefault="009C067A" w:rsidP="00B02139">
      <w:pPr>
        <w:pStyle w:val="xp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Nell’informativa periodica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di Consiglio e Fondazione nazionali della categoria </w:t>
      </w:r>
      <w:r w:rsidR="00B02139">
        <w:rPr>
          <w:rFonts w:ascii="Arial" w:hAnsi="Arial" w:cs="Arial"/>
          <w:b/>
          <w:bCs/>
          <w:color w:val="000000"/>
          <w:sz w:val="24"/>
          <w:szCs w:val="24"/>
        </w:rPr>
        <w:t>il documento “La revisione negli enti locali, Quaderno I - Approccio metodologico e Quaderno II - Strumenti operativi”</w:t>
      </w:r>
    </w:p>
    <w:p w14:paraId="45ABED13" w14:textId="77777777" w:rsidR="00B02139" w:rsidRDefault="00B02139" w:rsidP="00B02139">
      <w:pPr>
        <w:pStyle w:val="xp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6F25D12" w14:textId="67D64BA8" w:rsidR="00B02139" w:rsidRDefault="00B02139" w:rsidP="00B02139">
      <w:pPr>
        <w:pStyle w:val="xp2"/>
        <w:jc w:val="both"/>
        <w:rPr>
          <w:rStyle w:val="xapple-converted-space"/>
          <w:rFonts w:ascii="Arial" w:hAnsi="Arial" w:cs="Arial"/>
          <w:color w:val="000000"/>
          <w:sz w:val="24"/>
          <w:szCs w:val="24"/>
        </w:rPr>
      </w:pPr>
      <w:r w:rsidRPr="00B02139">
        <w:rPr>
          <w:rFonts w:ascii="Arial" w:hAnsi="Arial" w:cs="Arial"/>
          <w:i/>
          <w:iCs/>
          <w:color w:val="000000"/>
          <w:sz w:val="24"/>
          <w:szCs w:val="24"/>
        </w:rPr>
        <w:t>Roma, 9 novembre 2020</w:t>
      </w:r>
      <w:r>
        <w:rPr>
          <w:rFonts w:ascii="Arial" w:hAnsi="Arial" w:cs="Arial"/>
          <w:color w:val="000000"/>
          <w:sz w:val="24"/>
          <w:szCs w:val="24"/>
        </w:rPr>
        <w:t xml:space="preserve"> - Il Consiglio e la Fondazione nazionali dei commercialisti hanno pubblicato </w:t>
      </w:r>
      <w:hyperlink r:id="rId6" w:history="1">
        <w:r w:rsidRPr="009847A1">
          <w:rPr>
            <w:rStyle w:val="Collegamentoipertestuale"/>
            <w:rFonts w:ascii="Arial" w:hAnsi="Arial" w:cs="Arial"/>
            <w:sz w:val="24"/>
            <w:szCs w:val="24"/>
          </w:rPr>
          <w:t>l’informativa periodica “Economia degli Enti locali”</w:t>
        </w:r>
      </w:hyperlink>
      <w:r>
        <w:rPr>
          <w:rFonts w:ascii="Arial" w:hAnsi="Arial" w:cs="Arial"/>
          <w:color w:val="000000"/>
          <w:sz w:val="24"/>
          <w:szCs w:val="24"/>
        </w:rPr>
        <w:t>, che analizza le principali novità in materia.</w:t>
      </w:r>
    </w:p>
    <w:p w14:paraId="46B6624E" w14:textId="77777777" w:rsidR="00B02139" w:rsidRDefault="00B02139" w:rsidP="00B02139">
      <w:pPr>
        <w:pStyle w:val="xp2"/>
        <w:jc w:val="both"/>
        <w:rPr>
          <w:rStyle w:val="xapple-converted-space"/>
          <w:rFonts w:ascii="Arial" w:hAnsi="Arial" w:cs="Arial"/>
          <w:color w:val="000000"/>
          <w:sz w:val="24"/>
          <w:szCs w:val="24"/>
        </w:rPr>
      </w:pPr>
    </w:p>
    <w:p w14:paraId="0A18FB49" w14:textId="77777777" w:rsidR="00B02139" w:rsidRDefault="00B02139" w:rsidP="00B02139">
      <w:pPr>
        <w:pStyle w:val="xp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Attenzione focalizzata sul documento “La revisione negli enti locali, Quaderno I - Approccio metodologico e Quaderno II - Strumenti operativi”, che propone un approccio metodologico per lo svolgimento della funzione revisionale negli Enti locali e mette a disposizione del professionista una serie di materiali pratici e operativi a supporto di ogni fase del processo di revisione.</w:t>
      </w:r>
    </w:p>
    <w:p w14:paraId="180CDC24" w14:textId="77777777" w:rsidR="00B02139" w:rsidRDefault="00B02139" w:rsidP="00B02139">
      <w:pPr>
        <w:pStyle w:val="xp2"/>
        <w:jc w:val="both"/>
        <w:rPr>
          <w:rFonts w:ascii="Arial" w:hAnsi="Arial" w:cs="Arial"/>
          <w:color w:val="000000"/>
          <w:sz w:val="24"/>
          <w:szCs w:val="24"/>
        </w:rPr>
      </w:pPr>
    </w:p>
    <w:p w14:paraId="6FB2BAA8" w14:textId="7B6CCD4C" w:rsidR="00B02139" w:rsidRDefault="00B02139" w:rsidP="00B02139">
      <w:pPr>
        <w:pStyle w:val="xp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>Il primo Quaderno approfondisce le nozioni relative alle procedure di revisione, all’acquisizione degli elementi probativi, alla documentazione dell’attività e alla valutazione del rischio, soffermandosi in modo particolare sulla metodologia di campionamento. Il Quaderno II, dal taglio ancor più operativo, è incentrato sulle procedure di revisione e sulla relativa documentazione a supporto.</w:t>
      </w:r>
    </w:p>
    <w:p w14:paraId="25AF82EA" w14:textId="77777777" w:rsidR="00B02139" w:rsidRDefault="00B02139" w:rsidP="00B02139">
      <w:pPr>
        <w:pStyle w:val="xp2"/>
        <w:jc w:val="both"/>
        <w:rPr>
          <w:rFonts w:ascii="Arial" w:hAnsi="Arial" w:cs="Arial"/>
          <w:color w:val="000000"/>
          <w:sz w:val="24"/>
          <w:szCs w:val="24"/>
        </w:rPr>
      </w:pPr>
    </w:p>
    <w:p w14:paraId="36AFA72F" w14:textId="3C9D5298" w:rsidR="00B02139" w:rsidRDefault="00B02139" w:rsidP="00B02139">
      <w:pPr>
        <w:pStyle w:val="xp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Nell’informativa si segnalano inoltre le raccomandazioni fornite agli operatori del mondo delle società a partecipazione pubblica (organi amministrativi e di controllo, nonché soci pubblici) per un’applicazione ragionata, nel contesto dell’epidemia Covid-19, degli obblighi in materia di crisi di impresa, imposti per le società a controllo pubblico dagli artt. 6, co. 2 e 14, co. 2, 3, 4 e 5 del d.lgs. 175/2016, la cui efficacia non è stata sospesa dalla legislazione emergenziale.</w:t>
      </w:r>
    </w:p>
    <w:p w14:paraId="7A767625" w14:textId="77777777" w:rsidR="00B02139" w:rsidRDefault="00B02139" w:rsidP="00B02139">
      <w:pPr>
        <w:pStyle w:val="xp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D531A77" w14:textId="2D9F5CFB" w:rsidR="00B02139" w:rsidRPr="00B02139" w:rsidRDefault="00B02139" w:rsidP="00B02139">
      <w:pPr>
        <w:pStyle w:val="xp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>Come di consueto, nell'informativa</w:t>
      </w:r>
      <w:r>
        <w:rPr>
          <w:rStyle w:val="xapple-converted-space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vengono fornite, con richiamo nelle specifiche sezioni e con collegamento ipertestuale, tutte le comunicazioni inerenti alle attività svolte e in corso, le prossime iniziative istituzionali e i documenti e i contributi pubblicati.</w:t>
      </w:r>
      <w:r>
        <w:rPr>
          <w:rStyle w:val="x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Tra i temi approfonditi, la Riforma Tuel, la Formazione dell’elenco nazionale organismi indipendenti di valutazione.</w:t>
      </w:r>
    </w:p>
    <w:p w14:paraId="7B1D73D5" w14:textId="00A51240" w:rsidR="00B3271C" w:rsidRPr="00684826" w:rsidRDefault="00322B37" w:rsidP="00B02139">
      <w:pPr>
        <w:jc w:val="both"/>
      </w:pPr>
    </w:p>
    <w:sectPr w:rsidR="00B3271C" w:rsidRPr="00684826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4AA9" w14:textId="77777777" w:rsidR="00322B37" w:rsidRDefault="00322B37" w:rsidP="00627996">
      <w:r>
        <w:separator/>
      </w:r>
    </w:p>
  </w:endnote>
  <w:endnote w:type="continuationSeparator" w:id="0">
    <w:p w14:paraId="0BFD2987" w14:textId="77777777" w:rsidR="00322B37" w:rsidRDefault="00322B37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4093" w14:textId="77777777" w:rsidR="00322B37" w:rsidRDefault="00322B37" w:rsidP="00627996">
      <w:r>
        <w:separator/>
      </w:r>
    </w:p>
  </w:footnote>
  <w:footnote w:type="continuationSeparator" w:id="0">
    <w:p w14:paraId="1354C51D" w14:textId="77777777" w:rsidR="00322B37" w:rsidRDefault="00322B37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F2092"/>
    <w:rsid w:val="000F6B0A"/>
    <w:rsid w:val="001B3759"/>
    <w:rsid w:val="001D0C92"/>
    <w:rsid w:val="00206248"/>
    <w:rsid w:val="00237BEE"/>
    <w:rsid w:val="002B1170"/>
    <w:rsid w:val="002B1507"/>
    <w:rsid w:val="002E31F2"/>
    <w:rsid w:val="00322B37"/>
    <w:rsid w:val="003248FA"/>
    <w:rsid w:val="003367D1"/>
    <w:rsid w:val="0038706A"/>
    <w:rsid w:val="003C2FC0"/>
    <w:rsid w:val="004C1060"/>
    <w:rsid w:val="004C69D3"/>
    <w:rsid w:val="00595991"/>
    <w:rsid w:val="00627996"/>
    <w:rsid w:val="00656CC5"/>
    <w:rsid w:val="00684826"/>
    <w:rsid w:val="006B550C"/>
    <w:rsid w:val="006D5AC7"/>
    <w:rsid w:val="00734687"/>
    <w:rsid w:val="00785609"/>
    <w:rsid w:val="007A5D9D"/>
    <w:rsid w:val="0091774A"/>
    <w:rsid w:val="009847A1"/>
    <w:rsid w:val="00986D90"/>
    <w:rsid w:val="009A3D78"/>
    <w:rsid w:val="009C067A"/>
    <w:rsid w:val="009D1104"/>
    <w:rsid w:val="009F27EC"/>
    <w:rsid w:val="00AC6BB0"/>
    <w:rsid w:val="00B02139"/>
    <w:rsid w:val="00BD4233"/>
    <w:rsid w:val="00CD5A5F"/>
    <w:rsid w:val="00CE681E"/>
    <w:rsid w:val="00D0285A"/>
    <w:rsid w:val="00D41E98"/>
    <w:rsid w:val="00DB4B99"/>
    <w:rsid w:val="00F4452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customStyle="1" w:styleId="xp1">
    <w:name w:val="x_p1"/>
    <w:basedOn w:val="Normale"/>
    <w:rsid w:val="00B02139"/>
    <w:rPr>
      <w:rFonts w:ascii="Calibri" w:hAnsi="Calibri" w:cs="Calibri"/>
      <w:sz w:val="22"/>
      <w:szCs w:val="22"/>
      <w:lang w:eastAsia="it-IT"/>
    </w:rPr>
  </w:style>
  <w:style w:type="paragraph" w:customStyle="1" w:styleId="xp2">
    <w:name w:val="x_p2"/>
    <w:basedOn w:val="Normale"/>
    <w:rsid w:val="00B02139"/>
    <w:rPr>
      <w:rFonts w:ascii="Calibri" w:hAnsi="Calibri" w:cs="Calibri"/>
      <w:sz w:val="22"/>
      <w:szCs w:val="22"/>
      <w:lang w:eastAsia="it-IT"/>
    </w:rPr>
  </w:style>
  <w:style w:type="character" w:customStyle="1" w:styleId="xs1">
    <w:name w:val="x_s1"/>
    <w:basedOn w:val="Carpredefinitoparagrafo"/>
    <w:rsid w:val="00B02139"/>
  </w:style>
  <w:style w:type="character" w:customStyle="1" w:styleId="xapple-converted-space">
    <w:name w:val="x_apple-converted-space"/>
    <w:basedOn w:val="Carpredefinitoparagrafo"/>
    <w:rsid w:val="00B0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-magazine.it/attenzione-sulle-ultime-novita-in-materia-id-economia-degli-enti-loca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13</cp:revision>
  <dcterms:created xsi:type="dcterms:W3CDTF">2020-10-23T13:06:00Z</dcterms:created>
  <dcterms:modified xsi:type="dcterms:W3CDTF">2020-11-10T08:29:00Z</dcterms:modified>
</cp:coreProperties>
</file>