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676F3" w14:textId="77777777" w:rsidR="00B243F1" w:rsidRDefault="00B243F1" w:rsidP="00165F48">
      <w:pPr>
        <w:spacing w:after="0" w:line="240" w:lineRule="auto"/>
        <w:ind w:left="-62"/>
        <w:jc w:val="center"/>
        <w:rPr>
          <w:rFonts w:ascii="Arial" w:eastAsia="Times New Roman" w:hAnsi="Arial" w:cs="Arial"/>
          <w:kern w:val="0"/>
          <w:sz w:val="24"/>
          <w:szCs w:val="24"/>
          <w:u w:val="single"/>
          <w:lang w:eastAsia="it-IT"/>
          <w14:ligatures w14:val="none"/>
        </w:rPr>
      </w:pPr>
      <w:bookmarkStart w:id="0" w:name="_Toc121493313"/>
    </w:p>
    <w:p w14:paraId="1E79E7A6" w14:textId="12760E7C" w:rsidR="00165F48" w:rsidRPr="00165F48" w:rsidRDefault="00165F48" w:rsidP="00165F48">
      <w:pPr>
        <w:spacing w:after="0" w:line="240" w:lineRule="auto"/>
        <w:ind w:left="-62"/>
        <w:jc w:val="center"/>
        <w:rPr>
          <w:rFonts w:ascii="Arial" w:eastAsia="Times New Roman" w:hAnsi="Arial" w:cs="Arial"/>
          <w:kern w:val="0"/>
          <w:sz w:val="24"/>
          <w:szCs w:val="24"/>
          <w:u w:val="single"/>
          <w:lang w:eastAsia="it-IT"/>
          <w14:ligatures w14:val="none"/>
        </w:rPr>
      </w:pPr>
      <w:r w:rsidRPr="00165F48">
        <w:rPr>
          <w:rFonts w:ascii="Arial" w:eastAsia="Times New Roman" w:hAnsi="Arial" w:cs="Arial"/>
          <w:kern w:val="0"/>
          <w:sz w:val="24"/>
          <w:szCs w:val="24"/>
          <w:u w:val="single"/>
          <w:lang w:eastAsia="it-IT"/>
          <w14:ligatures w14:val="none"/>
        </w:rPr>
        <w:t>Comunicato stampa</w:t>
      </w:r>
    </w:p>
    <w:p w14:paraId="55CCE352" w14:textId="77777777" w:rsidR="00165F48" w:rsidRPr="00165F48" w:rsidRDefault="00165F48" w:rsidP="00165F48">
      <w:pPr>
        <w:spacing w:after="0" w:line="240" w:lineRule="auto"/>
        <w:ind w:left="-62"/>
        <w:jc w:val="center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4D03DFF4" w14:textId="7808B9ED" w:rsidR="00165F48" w:rsidRPr="00165F48" w:rsidRDefault="00165F48" w:rsidP="00165F48">
      <w:pPr>
        <w:spacing w:after="0" w:line="240" w:lineRule="auto"/>
        <w:ind w:left="-62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165F48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CONTRAFFAZIONE </w:t>
      </w:r>
      <w:r w:rsidR="00E91059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DI </w:t>
      </w:r>
      <w:r w:rsidRPr="00165F48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MARCHI E BREVETTI: </w:t>
      </w:r>
      <w:r w:rsidR="0011257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DOCUMENTO </w:t>
      </w:r>
      <w:r w:rsidR="00DA0EF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DEI COMMERCIALISTI </w:t>
      </w:r>
      <w:r w:rsidR="0011257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SU</w:t>
      </w:r>
      <w:r w:rsidRPr="00165F48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L RISARCIMENTO DE</w:t>
      </w:r>
      <w:r w:rsidR="00047BCA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I DANNI</w:t>
      </w:r>
    </w:p>
    <w:p w14:paraId="65568BCD" w14:textId="77777777" w:rsidR="00165F48" w:rsidRPr="00165F48" w:rsidRDefault="00165F48" w:rsidP="00165F48">
      <w:pPr>
        <w:spacing w:after="0" w:line="240" w:lineRule="auto"/>
        <w:ind w:left="-62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0678F97D" w14:textId="0AAE6DCB" w:rsidR="00165F48" w:rsidRPr="00165F48" w:rsidRDefault="00165F48" w:rsidP="00165F48">
      <w:pPr>
        <w:spacing w:after="0" w:line="240" w:lineRule="auto"/>
        <w:ind w:left="-62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165F48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Pubblicato </w:t>
      </w:r>
      <w:r w:rsidR="0011257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da</w:t>
      </w:r>
      <w:r w:rsidRPr="00165F48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l Consiglio e d</w:t>
      </w:r>
      <w:r w:rsidR="0011257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</w:t>
      </w:r>
      <w:r w:rsidRPr="00165F48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lle Fondazioni nazionali Ricerca e Formazione de</w:t>
      </w:r>
      <w:r w:rsidR="00DA0EF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lla categoria</w:t>
      </w:r>
      <w:r w:rsidR="00B253A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. Focus sul quadro normativo nazionale e internazionale che tutela </w:t>
      </w:r>
      <w:r w:rsidR="00DA0EF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i</w:t>
      </w:r>
      <w:r w:rsidR="00B253A2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l diritto di esclusiva dell’imprenditore</w:t>
      </w:r>
    </w:p>
    <w:p w14:paraId="2C1260F9" w14:textId="77777777" w:rsidR="00165F48" w:rsidRPr="00165F48" w:rsidRDefault="00165F48" w:rsidP="00165F48">
      <w:pPr>
        <w:spacing w:after="0" w:line="240" w:lineRule="auto"/>
        <w:ind w:left="-62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103652ED" w14:textId="56379F70" w:rsidR="00165F48" w:rsidRPr="00B243F1" w:rsidRDefault="00165F48" w:rsidP="00165F48">
      <w:pPr>
        <w:spacing w:after="0" w:line="240" w:lineRule="auto"/>
        <w:ind w:left="-62"/>
        <w:jc w:val="both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  <w:r w:rsidRPr="00B243F1">
        <w:rPr>
          <w:rFonts w:ascii="Arial" w:eastAsia="Times New Roman" w:hAnsi="Arial" w:cs="Arial"/>
          <w:i/>
          <w:iCs/>
          <w:kern w:val="0"/>
          <w:sz w:val="23"/>
          <w:szCs w:val="23"/>
          <w:lang w:eastAsia="it-IT"/>
          <w14:ligatures w14:val="none"/>
        </w:rPr>
        <w:t xml:space="preserve">Roma, </w:t>
      </w:r>
      <w:r w:rsidR="00DA0EF0">
        <w:rPr>
          <w:rFonts w:ascii="Arial" w:eastAsia="Times New Roman" w:hAnsi="Arial" w:cs="Arial"/>
          <w:i/>
          <w:iCs/>
          <w:kern w:val="0"/>
          <w:sz w:val="23"/>
          <w:szCs w:val="23"/>
          <w:lang w:eastAsia="it-IT"/>
          <w14:ligatures w14:val="none"/>
        </w:rPr>
        <w:t>9</w:t>
      </w:r>
      <w:r w:rsidRPr="00B243F1">
        <w:rPr>
          <w:rFonts w:ascii="Arial" w:eastAsia="Times New Roman" w:hAnsi="Arial" w:cs="Arial"/>
          <w:i/>
          <w:iCs/>
          <w:kern w:val="0"/>
          <w:sz w:val="23"/>
          <w:szCs w:val="23"/>
          <w:lang w:eastAsia="it-IT"/>
          <w14:ligatures w14:val="none"/>
        </w:rPr>
        <w:t xml:space="preserve"> ottobre 2023</w:t>
      </w:r>
      <w:r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– </w:t>
      </w:r>
      <w:r w:rsidR="00667217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“</w:t>
      </w:r>
      <w:r w:rsidRPr="00B243F1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Il risarcimento dei danni derivanti dalla contraffazione di marchi e brevetti</w:t>
      </w:r>
      <w:r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” è il titolo del documento pubblicato oggi dal Consiglio e dalle Fondazioni nazionali Ricerca e Formazione della categoria, che </w:t>
      </w:r>
      <w:r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approfondisce alcune tematiche trattate nella pubblicazione “</w:t>
      </w:r>
      <w:hyperlink r:id="rId6" w:history="1">
        <w:r w:rsidRPr="00165F48">
          <w:rPr>
            <w:rStyle w:val="Collegamentoipertestuale"/>
            <w:rFonts w:ascii="Arial" w:eastAsia="Times New Roman" w:hAnsi="Arial" w:cs="Arial"/>
            <w:kern w:val="0"/>
            <w:sz w:val="23"/>
            <w:szCs w:val="23"/>
            <w:lang w:eastAsia="it-IT"/>
            <w14:ligatures w14:val="none"/>
          </w:rPr>
          <w:t>La quantificazione del risarcimento del danno per la violazione da parte dell’ISP della disciplina sul diritto d’autore online</w:t>
        </w:r>
      </w:hyperlink>
      <w:r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” del</w:t>
      </w:r>
      <w:r w:rsidR="008E566B"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lo scorso</w:t>
      </w:r>
      <w:r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luglio.</w:t>
      </w:r>
    </w:p>
    <w:p w14:paraId="3CE5CF4C" w14:textId="77777777" w:rsidR="00165F48" w:rsidRPr="00165F48" w:rsidRDefault="00165F48" w:rsidP="00165F48">
      <w:pPr>
        <w:spacing w:after="0" w:line="240" w:lineRule="auto"/>
        <w:ind w:left="-62"/>
        <w:jc w:val="both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</w:p>
    <w:p w14:paraId="23594501" w14:textId="46A9E4CD" w:rsidR="00183150" w:rsidRPr="00B243F1" w:rsidRDefault="00165F48" w:rsidP="00165F48">
      <w:pPr>
        <w:spacing w:after="0" w:line="240" w:lineRule="auto"/>
        <w:ind w:left="-62"/>
        <w:jc w:val="both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  <w:r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Il tema del risarcimento del danno per la contraffazione di marchi e brevetti è stato oggetto di particolari </w:t>
      </w:r>
      <w:r w:rsidRPr="00165F48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evoluzioni nel tempo</w:t>
      </w:r>
      <w:r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, soprattutto per quanto </w:t>
      </w:r>
      <w:r w:rsidR="00027AA9"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riguarda </w:t>
      </w:r>
      <w:r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l’ordine e la combinazione delle diverse metodologie di calcolo dell’entità d</w:t>
      </w:r>
      <w:r w:rsidR="00027AA9"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i tale </w:t>
      </w:r>
      <w:r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risarcimento. Catalizzatore di </w:t>
      </w:r>
      <w:r w:rsidR="00027AA9"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queste </w:t>
      </w:r>
      <w:r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evoluzioni è stato </w:t>
      </w:r>
      <w:r w:rsidR="00027AA9"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sia </w:t>
      </w:r>
      <w:r w:rsidRPr="00165F48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l’intervento di direttive comunitarie</w:t>
      </w:r>
      <w:r w:rsidR="00027AA9"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,</w:t>
      </w:r>
      <w:r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che hanno contribuito a regolare la materia, </w:t>
      </w:r>
      <w:r w:rsidR="00027AA9"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sia </w:t>
      </w:r>
      <w:r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di una </w:t>
      </w:r>
      <w:r w:rsidRPr="00165F48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giurisprudenza innovativa</w:t>
      </w:r>
      <w:r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che</w:t>
      </w:r>
      <w:r w:rsidR="00027AA9"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,</w:t>
      </w:r>
      <w:r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nel</w:t>
      </w:r>
      <w:r w:rsidR="00027AA9"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corso del</w:t>
      </w:r>
      <w:r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tempo</w:t>
      </w:r>
      <w:r w:rsidR="00027AA9"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,</w:t>
      </w:r>
      <w:r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ha rielaborato e specificato, partendo dalla normativa interna, l’ordine e la definizione dei vari criteri di quantificazione del danno applicabili caso per caso.</w:t>
      </w:r>
    </w:p>
    <w:p w14:paraId="264EFE18" w14:textId="32B8FBEC" w:rsidR="00165F48" w:rsidRPr="00165F48" w:rsidRDefault="00165F48" w:rsidP="00165F48">
      <w:pPr>
        <w:spacing w:after="0" w:line="240" w:lineRule="auto"/>
        <w:ind w:left="-62"/>
        <w:jc w:val="both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</w:p>
    <w:p w14:paraId="468DAEE6" w14:textId="5D114DC1" w:rsidR="00165F48" w:rsidRPr="00B243F1" w:rsidRDefault="00165F48" w:rsidP="00165F48">
      <w:pPr>
        <w:spacing w:after="0" w:line="240" w:lineRule="auto"/>
        <w:ind w:left="-62"/>
        <w:jc w:val="both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  <w:r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Il marchio è uno dei </w:t>
      </w:r>
      <w:r w:rsidRPr="00165F48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segni distintivi dell’imprenditore</w:t>
      </w:r>
      <w:r w:rsidR="006A5E83"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, </w:t>
      </w:r>
      <w:r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caratterizzato dalla funzione di distinguere i prodotti o i servizi dell’imprenditore che ne è titolare da quelli di un altro.</w:t>
      </w:r>
      <w:r w:rsidR="00183150"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</w:t>
      </w:r>
      <w:r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A quest’ultima funzione si ricollega </w:t>
      </w:r>
      <w:r w:rsidRPr="00165F48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il diritto di esclusiva</w:t>
      </w:r>
      <w:r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(</w:t>
      </w:r>
      <w:r w:rsidRPr="00165F48">
        <w:rPr>
          <w:rFonts w:ascii="Arial" w:eastAsia="Times New Roman" w:hAnsi="Arial" w:cs="Arial"/>
          <w:i/>
          <w:iCs/>
          <w:kern w:val="0"/>
          <w:sz w:val="23"/>
          <w:szCs w:val="23"/>
          <w:lang w:eastAsia="it-IT"/>
          <w14:ligatures w14:val="none"/>
        </w:rPr>
        <w:t>ius excludendi</w:t>
      </w:r>
      <w:r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) di cui è titolare </w:t>
      </w:r>
      <w:r w:rsidR="00E91059"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l’</w:t>
      </w:r>
      <w:r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imprenditore</w:t>
      </w:r>
      <w:r w:rsidR="00183150"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e</w:t>
      </w:r>
      <w:r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che si sostanzia nel diritto di escludere soggetti terzi dalla possibilità di usare lo stesso segno distintivo per distinguere i propri prodotti e/o servizi affini, con la potenziale conseguenza di provocare confusione nel pubblico dei consumatori.</w:t>
      </w:r>
    </w:p>
    <w:p w14:paraId="7DCDA3BF" w14:textId="77777777" w:rsidR="00183150" w:rsidRPr="00165F48" w:rsidRDefault="00183150" w:rsidP="00165F48">
      <w:pPr>
        <w:spacing w:after="0" w:line="240" w:lineRule="auto"/>
        <w:ind w:left="-62"/>
        <w:jc w:val="both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</w:p>
    <w:p w14:paraId="53E329E5" w14:textId="5792D3C3" w:rsidR="00165F48" w:rsidRPr="00B243F1" w:rsidRDefault="00E91059" w:rsidP="00165F48">
      <w:pPr>
        <w:spacing w:after="0" w:line="240" w:lineRule="auto"/>
        <w:ind w:left="-62"/>
        <w:jc w:val="both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  <w:r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Quest’ultimo </w:t>
      </w:r>
      <w:r w:rsidR="00165F48"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si comporta come base giuridica per l’imprenditore, non solo per la disciplina sostanziale, ma anche per il riconoscimento in capo al titolare del diritto di </w:t>
      </w:r>
      <w:r w:rsidR="00165F48" w:rsidRPr="00165F48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 xml:space="preserve">azioni correlate allo </w:t>
      </w:r>
      <w:r w:rsidR="00165F48" w:rsidRPr="00165F48">
        <w:rPr>
          <w:rFonts w:ascii="Arial" w:eastAsia="Times New Roman" w:hAnsi="Arial" w:cs="Arial"/>
          <w:b/>
          <w:bCs/>
          <w:i/>
          <w:iCs/>
          <w:kern w:val="0"/>
          <w:sz w:val="23"/>
          <w:szCs w:val="23"/>
          <w:lang w:eastAsia="it-IT"/>
          <w14:ligatures w14:val="none"/>
        </w:rPr>
        <w:t>ius excludendi</w:t>
      </w:r>
      <w:r w:rsidR="00165F48"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, quali quella di accertamento, un’inibitoria e altre finalizzate alla rimozione degli effetti della violazione eventualmente accertata (e.g. la rimozione dal mercato dei prodotti contraffatti). A queste azioni si accompagna, parallelamente, quella del risarcimento del danno per l’avvenuta contraffazione nei confronti dell’imprenditore titolare dei diritti sul marchio in oggetto.</w:t>
      </w:r>
    </w:p>
    <w:p w14:paraId="6ED92CC3" w14:textId="77777777" w:rsidR="00183150" w:rsidRPr="00165F48" w:rsidRDefault="00183150" w:rsidP="00165F48">
      <w:pPr>
        <w:spacing w:after="0" w:line="240" w:lineRule="auto"/>
        <w:ind w:left="-62"/>
        <w:jc w:val="both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</w:p>
    <w:p w14:paraId="4CCB1606" w14:textId="7E0759F3" w:rsidR="00165F48" w:rsidRPr="00165F48" w:rsidRDefault="00183150" w:rsidP="00165F48">
      <w:pPr>
        <w:spacing w:after="0" w:line="240" w:lineRule="auto"/>
        <w:ind w:left="-62"/>
        <w:jc w:val="both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  <w:r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Nel documento, dopo </w:t>
      </w:r>
      <w:r w:rsidR="00165F48"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una </w:t>
      </w:r>
      <w:r w:rsidR="00165F48" w:rsidRPr="00165F48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sintetica panoramica sul quadro normativo</w:t>
      </w:r>
      <w:r w:rsidR="00B253A2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 xml:space="preserve"> nazionale e</w:t>
      </w:r>
      <w:r w:rsidR="00165F48" w:rsidRPr="00165F48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 xml:space="preserve"> internazionale </w:t>
      </w:r>
      <w:r w:rsidR="00165F48"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sulla tutela di marchi e brevetti, </w:t>
      </w:r>
      <w:r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v</w:t>
      </w:r>
      <w:r w:rsidR="00165F48"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errà effettuata una </w:t>
      </w:r>
      <w:r w:rsidR="00165F48" w:rsidRPr="00165F48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disamina della disciplina</w:t>
      </w:r>
      <w:r w:rsidR="00165F48"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in ordine all’azione di risarcimento del danno per contraffazione e uso illegittimo di tali diritti, con </w:t>
      </w:r>
      <w:r w:rsidR="00165F48" w:rsidRPr="00165F48">
        <w:rPr>
          <w:rFonts w:ascii="Arial" w:eastAsia="Times New Roman" w:hAnsi="Arial" w:cs="Arial"/>
          <w:i/>
          <w:iCs/>
          <w:kern w:val="0"/>
          <w:sz w:val="23"/>
          <w:szCs w:val="23"/>
          <w:lang w:eastAsia="it-IT"/>
          <w14:ligatures w14:val="none"/>
        </w:rPr>
        <w:t xml:space="preserve">focus </w:t>
      </w:r>
      <w:r w:rsidR="00165F48"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sulle complessità delle metodologie di calcolo del danno correlato a tali violazioni e sulle metodologie sedimentatesi nel tempo grazie all’esperienza della giurisprudenza europea e di </w:t>
      </w:r>
      <w:r w:rsidR="00165F48" w:rsidRPr="00165F48">
        <w:rPr>
          <w:rFonts w:ascii="Arial" w:eastAsia="Times New Roman" w:hAnsi="Arial" w:cs="Arial"/>
          <w:i/>
          <w:iCs/>
          <w:kern w:val="0"/>
          <w:sz w:val="23"/>
          <w:szCs w:val="23"/>
          <w:lang w:eastAsia="it-IT"/>
          <w14:ligatures w14:val="none"/>
        </w:rPr>
        <w:t>common law</w:t>
      </w:r>
      <w:r w:rsidR="00165F48"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. </w:t>
      </w:r>
    </w:p>
    <w:p w14:paraId="6E200CA8" w14:textId="77777777" w:rsidR="00183150" w:rsidRPr="00B243F1" w:rsidRDefault="00183150" w:rsidP="00165F48">
      <w:pPr>
        <w:spacing w:after="0" w:line="240" w:lineRule="auto"/>
        <w:ind w:left="-62"/>
        <w:jc w:val="both"/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</w:pPr>
    </w:p>
    <w:p w14:paraId="2A411D7F" w14:textId="36DE2231" w:rsidR="00165F48" w:rsidRPr="00B243F1" w:rsidRDefault="00183150" w:rsidP="00B243F1">
      <w:pPr>
        <w:spacing w:after="0" w:line="240" w:lineRule="auto"/>
        <w:ind w:left="-62"/>
        <w:jc w:val="both"/>
        <w:rPr>
          <w:rFonts w:ascii="Arial" w:hAnsi="Arial" w:cs="Arial"/>
          <w:sz w:val="23"/>
          <w:szCs w:val="23"/>
        </w:rPr>
      </w:pPr>
      <w:r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L</w:t>
      </w:r>
      <w:r w:rsidR="00165F48"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’analisi si soffermerà </w:t>
      </w:r>
      <w:r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infine </w:t>
      </w:r>
      <w:r w:rsidR="00165F48"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sugli </w:t>
      </w:r>
      <w:r w:rsidR="00165F48" w:rsidRPr="00165F48">
        <w:rPr>
          <w:rFonts w:ascii="Arial" w:eastAsia="Times New Roman" w:hAnsi="Arial" w:cs="Arial"/>
          <w:b/>
          <w:bCs/>
          <w:kern w:val="0"/>
          <w:sz w:val="23"/>
          <w:szCs w:val="23"/>
          <w:lang w:eastAsia="it-IT"/>
          <w14:ligatures w14:val="none"/>
        </w:rPr>
        <w:t>orientamenti della giurisprudenza</w:t>
      </w:r>
      <w:r w:rsidR="00165F48"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relativi alla precisazione dei limiti concernenti le metodologie di calcolo, con specifica attenzione a due pronunce della Suprema Corte di Cassazione </w:t>
      </w:r>
      <w:r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–</w:t>
      </w:r>
      <w:r w:rsidR="00165F48"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</w:t>
      </w:r>
      <w:r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numeri </w:t>
      </w:r>
      <w:r w:rsidR="00165F48"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24635/2021</w:t>
      </w:r>
      <w:r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 e </w:t>
      </w:r>
      <w:r w:rsidR="00165F48"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5666/2021 </w:t>
      </w:r>
      <w:r w:rsidRPr="00B243F1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 xml:space="preserve">– </w:t>
      </w:r>
      <w:r w:rsidR="00165F48" w:rsidRPr="00165F48">
        <w:rPr>
          <w:rFonts w:ascii="Arial" w:eastAsia="Times New Roman" w:hAnsi="Arial" w:cs="Arial"/>
          <w:kern w:val="0"/>
          <w:sz w:val="23"/>
          <w:szCs w:val="23"/>
          <w:lang w:eastAsia="it-IT"/>
          <w14:ligatures w14:val="none"/>
        </w:rPr>
        <w:t>che, soffermandosi, su tali temi hanno fornito utili indicazioni interpretative.</w:t>
      </w:r>
      <w:bookmarkEnd w:id="0"/>
    </w:p>
    <w:sectPr w:rsidR="00165F48" w:rsidRPr="00B243F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4A0E3" w14:textId="77777777" w:rsidR="008B0C26" w:rsidRDefault="008B0C26" w:rsidP="00165F48">
      <w:pPr>
        <w:spacing w:after="0" w:line="240" w:lineRule="auto"/>
      </w:pPr>
      <w:r>
        <w:separator/>
      </w:r>
    </w:p>
  </w:endnote>
  <w:endnote w:type="continuationSeparator" w:id="0">
    <w:p w14:paraId="299F4895" w14:textId="77777777" w:rsidR="008B0C26" w:rsidRDefault="008B0C26" w:rsidP="0016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B10F" w14:textId="77777777" w:rsidR="008B0C26" w:rsidRDefault="008B0C26" w:rsidP="00165F48">
      <w:pPr>
        <w:spacing w:after="0" w:line="240" w:lineRule="auto"/>
      </w:pPr>
      <w:r>
        <w:separator/>
      </w:r>
    </w:p>
  </w:footnote>
  <w:footnote w:type="continuationSeparator" w:id="0">
    <w:p w14:paraId="3750273D" w14:textId="77777777" w:rsidR="008B0C26" w:rsidRDefault="008B0C26" w:rsidP="0016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B0B5" w14:textId="1B8EB62D" w:rsidR="00B243F1" w:rsidRDefault="00B243F1" w:rsidP="00B243F1">
    <w:pPr>
      <w:pStyle w:val="Intestazione"/>
      <w:jc w:val="center"/>
    </w:pPr>
    <w:r>
      <w:rPr>
        <w:noProof/>
      </w:rPr>
      <w:drawing>
        <wp:inline distT="0" distB="0" distL="0" distR="0" wp14:anchorId="4CEFA5ED" wp14:editId="20BD5D2D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48"/>
    <w:rsid w:val="00027AA9"/>
    <w:rsid w:val="00047BCA"/>
    <w:rsid w:val="0011257D"/>
    <w:rsid w:val="00165F48"/>
    <w:rsid w:val="00183150"/>
    <w:rsid w:val="00444AEF"/>
    <w:rsid w:val="004B5E5A"/>
    <w:rsid w:val="00531A37"/>
    <w:rsid w:val="00667217"/>
    <w:rsid w:val="006A5E83"/>
    <w:rsid w:val="0089790B"/>
    <w:rsid w:val="008B0C26"/>
    <w:rsid w:val="008E566B"/>
    <w:rsid w:val="009B5C7B"/>
    <w:rsid w:val="00B243F1"/>
    <w:rsid w:val="00B253A2"/>
    <w:rsid w:val="00DA0EF0"/>
    <w:rsid w:val="00E616DB"/>
    <w:rsid w:val="00E7556F"/>
    <w:rsid w:val="00E91059"/>
    <w:rsid w:val="00F2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A61D"/>
  <w15:chartTrackingRefBased/>
  <w15:docId w15:val="{9FDFFF4F-E482-4AED-BF56-5D1A8F9B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5F4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5F48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65F48"/>
    <w:rPr>
      <w:color w:val="0563C1" w:themeColor="hyperlink"/>
      <w:u w:val="single"/>
    </w:rPr>
  </w:style>
  <w:style w:type="character" w:styleId="Rimandonotaapidipagina">
    <w:name w:val="footnote reference"/>
    <w:aliases w:val="Rimando nota a piè di pagina 2"/>
    <w:uiPriority w:val="99"/>
    <w:unhideWhenUsed/>
    <w:rsid w:val="00165F48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7AA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2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3F1"/>
  </w:style>
  <w:style w:type="paragraph" w:styleId="Pidipagina">
    <w:name w:val="footer"/>
    <w:basedOn w:val="Normale"/>
    <w:link w:val="PidipaginaCarattere"/>
    <w:uiPriority w:val="99"/>
    <w:unhideWhenUsed/>
    <w:rsid w:val="00B2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ndazionenazionalecommercialisti.it/node/17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13</cp:revision>
  <dcterms:created xsi:type="dcterms:W3CDTF">2023-10-06T07:45:00Z</dcterms:created>
  <dcterms:modified xsi:type="dcterms:W3CDTF">2023-10-09T07:53:00Z</dcterms:modified>
</cp:coreProperties>
</file>