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</w:p>
    <w:p w:rsidR="00E03509" w:rsidRPr="00E324DA" w:rsidRDefault="00E03509" w:rsidP="00E03509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</w:pP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Comunicato stampa</w:t>
      </w:r>
    </w:p>
    <w:p w:rsidR="00697A81" w:rsidRPr="00E324DA" w:rsidRDefault="00697A81" w:rsidP="00E03509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</w:pPr>
    </w:p>
    <w:p w:rsidR="00E03509" w:rsidRPr="00E324DA" w:rsidRDefault="00E03509" w:rsidP="00E03509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La fotografia scattata dall’</w:t>
      </w:r>
      <w:r w:rsidRPr="00E324DA">
        <w:rPr>
          <w:rFonts w:ascii="Arial" w:eastAsia="Times New Roman" w:hAnsi="Arial" w:cs="Arial"/>
          <w:b/>
          <w:bCs/>
          <w:color w:val="181817"/>
          <w:sz w:val="22"/>
          <w:szCs w:val="22"/>
          <w:bdr w:val="none" w:sz="0" w:space="0" w:color="auto" w:frame="1"/>
          <w:lang w:eastAsia="it-IT"/>
        </w:rPr>
        <w:t>Osservatorio</w:t>
      </w: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 sui bilanci delle SRL pubblicato dal Consiglio e dalla Fondazione Nazionali dei Commercialisti</w:t>
      </w:r>
    </w:p>
    <w:p w:rsidR="00E03509" w:rsidRPr="00E324DA" w:rsidRDefault="00E03509" w:rsidP="00E03509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 </w:t>
      </w:r>
    </w:p>
    <w:p w:rsidR="00E03509" w:rsidRPr="00E324DA" w:rsidRDefault="00E03509" w:rsidP="00E03509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COMMERCIALISTI: BRUCIATI 280 MILIARDI DI EURO. NEL PRIMO SEMESTRE IL FATTURATO DELLE AZIENDE ITALIANE (SPA ED SRL) CROLLA DEL -19,7%, È IL NORD EST (-21,3%) L’AREA CON LA CRISI PIU’ INTENSA</w:t>
      </w:r>
    </w:p>
    <w:p w:rsidR="00E03509" w:rsidRPr="00E324DA" w:rsidRDefault="00E03509" w:rsidP="00E03509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 </w:t>
      </w:r>
    </w:p>
    <w:p w:rsidR="00E03509" w:rsidRPr="00E324DA" w:rsidRDefault="00E03509" w:rsidP="00E03509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Tra le province che accusano maggiormente gli effetti della pandemia Potenza (-29,1%), Arezzo (-27,2%), Fermo (-26,3%), Chieti (-25,8%) e Prato (-25,3%) con performance peggiori del dato nazionale, mentre resistono meglio Siracusa (-13,7%), Cagliari (-13,8%), Roma (-16,1%), Genova (-16,5%) e Trieste (16,7%)</w:t>
      </w:r>
    </w:p>
    <w:p w:rsidR="00E03509" w:rsidRPr="00E324DA" w:rsidRDefault="00E03509" w:rsidP="00E03509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 </w:t>
      </w:r>
    </w:p>
    <w:p w:rsidR="00E0424C" w:rsidRPr="00E324DA" w:rsidRDefault="00E03509" w:rsidP="00E0424C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i/>
          <w:iCs/>
          <w:color w:val="262626"/>
          <w:sz w:val="22"/>
          <w:szCs w:val="22"/>
          <w:bdr w:val="none" w:sz="0" w:space="0" w:color="auto" w:frame="1"/>
          <w:lang w:eastAsia="it-IT"/>
        </w:rPr>
        <w:t xml:space="preserve">Roma </w:t>
      </w:r>
      <w:r w:rsidR="00E324DA" w:rsidRPr="00E324DA">
        <w:rPr>
          <w:rFonts w:ascii="Arial" w:eastAsia="Times New Roman" w:hAnsi="Arial" w:cs="Arial"/>
          <w:i/>
          <w:iCs/>
          <w:color w:val="262626"/>
          <w:sz w:val="22"/>
          <w:szCs w:val="22"/>
          <w:bdr w:val="none" w:sz="0" w:space="0" w:color="auto" w:frame="1"/>
          <w:lang w:eastAsia="it-IT"/>
        </w:rPr>
        <w:t>9</w:t>
      </w:r>
      <w:r w:rsidRPr="00E324DA">
        <w:rPr>
          <w:rFonts w:ascii="Arial" w:eastAsia="Times New Roman" w:hAnsi="Arial" w:cs="Arial"/>
          <w:i/>
          <w:iCs/>
          <w:color w:val="262626"/>
          <w:sz w:val="22"/>
          <w:szCs w:val="22"/>
          <w:bdr w:val="none" w:sz="0" w:space="0" w:color="auto" w:frame="1"/>
          <w:lang w:eastAsia="it-IT"/>
        </w:rPr>
        <w:t xml:space="preserve"> luglio 2020</w:t>
      </w:r>
      <w:r w:rsidRPr="00E324DA">
        <w:rPr>
          <w:rFonts w:ascii="Arial" w:eastAsia="Times New Roman" w:hAnsi="Arial" w:cs="Arial"/>
          <w:i/>
          <w:iCs/>
          <w:color w:val="201F1E"/>
          <w:sz w:val="22"/>
          <w:szCs w:val="22"/>
          <w:lang w:eastAsia="it-IT"/>
        </w:rPr>
        <w:t xml:space="preserve"> - 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Fatturato in </w:t>
      </w: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caduta libera (-19,7%)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 per le aziende italiane (</w:t>
      </w: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 xml:space="preserve">spa e </w:t>
      </w:r>
      <w:proofErr w:type="spellStart"/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srl</w:t>
      </w:r>
      <w:proofErr w:type="spellEnd"/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) nel primo semestre dell’anno con una </w:t>
      </w: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perdita di oltre 280 miliardi di euro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. Il dato emerge dall’Osservatorio sui Bilanci delle SRL 2018 e stime 2020 del Consiglio e della Fondazione Nazional</w:t>
      </w:r>
      <w:r w:rsidR="0040411F"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i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 dei Commercialisti che ha misurato l’impatto dell’emergenza COVID-19 ed il relativo </w:t>
      </w:r>
      <w:proofErr w:type="spellStart"/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lockdown</w:t>
      </w:r>
      <w:proofErr w:type="spellEnd"/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 sul fatturato delle società di capitali ne</w:t>
      </w:r>
      <w:r w:rsidR="0040411F"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i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 prim</w:t>
      </w:r>
      <w:r w:rsidR="0040411F"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i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 se</w:t>
      </w:r>
      <w:r w:rsidR="0040411F"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i mesi 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dell’anno. </w:t>
      </w:r>
      <w:r w:rsidRPr="00E324DA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eastAsia="it-IT"/>
        </w:rPr>
        <w:t xml:space="preserve">Nell’analisi sono considerate </w:t>
      </w:r>
      <w:r w:rsidRPr="00E324DA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  <w:lang w:eastAsia="it-IT"/>
        </w:rPr>
        <w:t>circa 830 mila società</w:t>
      </w:r>
      <w:r w:rsidRPr="00E324DA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eastAsia="it-IT"/>
        </w:rPr>
        <w:t xml:space="preserve"> che fatturano complessivamente </w:t>
      </w:r>
      <w:r w:rsidRPr="00E324DA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  <w:lang w:eastAsia="it-IT"/>
        </w:rPr>
        <w:t>circa 2.700 miliardi di euro</w:t>
      </w:r>
      <w:r w:rsidRPr="00E324DA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eastAsia="it-IT"/>
        </w:rPr>
        <w:t xml:space="preserve">, </w:t>
      </w:r>
      <w:r w:rsidRPr="00E324DA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  <w:lang w:eastAsia="it-IT"/>
        </w:rPr>
        <w:t>l’89% di tutte le imprese</w:t>
      </w:r>
      <w:r w:rsidRPr="00E324DA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eastAsia="it-IT"/>
        </w:rPr>
        <w:t xml:space="preserve"> e </w:t>
      </w:r>
      <w:r w:rsidRPr="00E324DA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  <w:lang w:eastAsia="it-IT"/>
        </w:rPr>
        <w:t>l’85% circa di tutti gli operatori economici</w:t>
      </w:r>
      <w:r w:rsidRPr="00E324DA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eastAsia="it-IT"/>
        </w:rPr>
        <w:t>.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 </w:t>
      </w:r>
      <w:r w:rsidR="00E0424C"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L’Osservatorio sui bilanci dei commercialisti elabora i dati presenti nella banca dati AIDA di Bureau van </w:t>
      </w:r>
      <w:proofErr w:type="spellStart"/>
      <w:r w:rsidR="00E0424C"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Dijk</w:t>
      </w:r>
      <w:proofErr w:type="spellEnd"/>
      <w:r w:rsidR="00E0424C"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.</w:t>
      </w:r>
    </w:p>
    <w:p w:rsidR="00E0424C" w:rsidRPr="00E324DA" w:rsidRDefault="00E0424C" w:rsidP="00E0424C">
      <w:pPr>
        <w:shd w:val="clear" w:color="auto" w:fill="FFFFFF"/>
        <w:jc w:val="both"/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</w:pPr>
    </w:p>
    <w:p w:rsidR="00E0424C" w:rsidRPr="00E324DA" w:rsidRDefault="00E03509" w:rsidP="00E0424C">
      <w:pPr>
        <w:shd w:val="clear" w:color="auto" w:fill="FFFFFF"/>
        <w:jc w:val="both"/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</w:pP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Tra le </w:t>
      </w: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province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 ad accusare maggiormente </w:t>
      </w:r>
      <w:r w:rsidR="0023445F"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gli effetti del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la</w:t>
      </w:r>
      <w:r w:rsidR="0023445F"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 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pandemia, Potenza (-29,1%), Arezzo (-27,2%), Fermo (-26,3%), Chieti (-25,8%) e Prato (-25,3%) con performance peggiori del dato nazionale, mentre resistono meglio Siracusa</w:t>
      </w:r>
      <w:r w:rsidR="0023445F"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 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(-13,7%), Cagliari (-13,8%), Roma (-16,1%), Genova (-16,5%) e Trieste (16,7%). </w:t>
      </w:r>
    </w:p>
    <w:p w:rsidR="00E0424C" w:rsidRPr="00E324DA" w:rsidRDefault="00E0424C" w:rsidP="00E0424C">
      <w:pPr>
        <w:shd w:val="clear" w:color="auto" w:fill="FFFFFF"/>
        <w:jc w:val="both"/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</w:pPr>
    </w:p>
    <w:p w:rsidR="00E0424C" w:rsidRPr="00E324DA" w:rsidRDefault="00E0424C" w:rsidP="00E0424C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Tabella Prime 10 province per perdita di fatturato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806"/>
        <w:gridCol w:w="1268"/>
        <w:gridCol w:w="938"/>
      </w:tblGrid>
      <w:tr w:rsidR="00E0424C" w:rsidRPr="00E324DA" w:rsidTr="00860D5E">
        <w:trPr>
          <w:trHeight w:val="26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bdr w:val="none" w:sz="0" w:space="0" w:color="auto" w:frame="1"/>
                <w:lang w:eastAsia="it-IT"/>
              </w:rPr>
              <w:t>Province</w:t>
            </w: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VAR</w:t>
            </w: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VAR 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Potenza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-1.345.023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-29,1%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Arezzo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-2.130.648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-27,2%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Fermo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-599.902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-26,3%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Chieti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-1.899.450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-25,8%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Prato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-1.175.646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-25,3%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Pordenone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-1.668.595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-25,3%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Pesaro e Urbino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-1.499.230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-25,0%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Lecco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-1.852.282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-24,8%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Terni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-691.224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-24,7%</w:t>
            </w:r>
          </w:p>
        </w:tc>
      </w:tr>
      <w:tr w:rsidR="00E0424C" w:rsidRPr="00E324DA" w:rsidTr="00860D5E">
        <w:trPr>
          <w:trHeight w:val="276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Biella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-765.987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-24,5%</w:t>
            </w:r>
          </w:p>
        </w:tc>
      </w:tr>
    </w:tbl>
    <w:p w:rsidR="00E0424C" w:rsidRPr="00E324DA" w:rsidRDefault="00E0424C" w:rsidP="00E0424C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color w:val="201F1E"/>
          <w:sz w:val="22"/>
          <w:szCs w:val="22"/>
          <w:lang w:eastAsia="it-IT"/>
        </w:rPr>
        <w:t> </w:t>
      </w:r>
    </w:p>
    <w:p w:rsidR="00E0424C" w:rsidRPr="00E324DA" w:rsidRDefault="00E0424C" w:rsidP="00E0424C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color w:val="201F1E"/>
          <w:sz w:val="22"/>
          <w:szCs w:val="22"/>
          <w:lang w:eastAsia="it-IT"/>
        </w:rPr>
        <w:t> </w:t>
      </w:r>
    </w:p>
    <w:p w:rsidR="00E0424C" w:rsidRPr="00E324DA" w:rsidRDefault="00E0424C" w:rsidP="00E0424C">
      <w:pPr>
        <w:shd w:val="clear" w:color="auto" w:fill="FFFFFF"/>
        <w:jc w:val="both"/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</w:pPr>
    </w:p>
    <w:p w:rsidR="0023445F" w:rsidRPr="00E324DA" w:rsidRDefault="00E03509" w:rsidP="00E0424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</w:pP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A livello di </w:t>
      </w: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macroarea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 la maggior sofferenza si avverte nel </w:t>
      </w: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Nord-Est (-21,3%)</w:t>
      </w:r>
      <w:r w:rsidR="0040411F"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, mentre le </w:t>
      </w:r>
      <w:r w:rsidRPr="00E324DA">
        <w:rPr>
          <w:rFonts w:ascii="Arial" w:eastAsia="Times New Roman" w:hAnsi="Arial" w:cs="Arial"/>
          <w:b/>
          <w:bCs/>
          <w:color w:val="262626"/>
          <w:sz w:val="22"/>
          <w:szCs w:val="22"/>
          <w:bdr w:val="none" w:sz="0" w:space="0" w:color="auto" w:frame="1"/>
          <w:lang w:eastAsia="it-IT"/>
        </w:rPr>
        <w:t>isole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 (-17,6%) </w:t>
      </w:r>
      <w:r w:rsidR="0040411F"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 xml:space="preserve">fanno registrare </w:t>
      </w:r>
      <w:r w:rsidRPr="00E324DA">
        <w:rPr>
          <w:rFonts w:ascii="Arial" w:eastAsia="Times New Roman" w:hAnsi="Arial" w:cs="Arial"/>
          <w:color w:val="262626"/>
          <w:sz w:val="22"/>
          <w:szCs w:val="22"/>
          <w:bdr w:val="none" w:sz="0" w:space="0" w:color="auto" w:frame="1"/>
          <w:lang w:eastAsia="it-IT"/>
        </w:rPr>
        <w:t>la minor perdita in termini di variazione percentuale.  Nel dettaglio emerge come nel </w:t>
      </w:r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solo mese di aprile, unico mese ad essere sottoposto interamente agli effetti della fase 1 del </w:t>
      </w:r>
      <w:proofErr w:type="spellStart"/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lockdown</w:t>
      </w:r>
      <w:proofErr w:type="spellEnd"/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, la perdita di fatturato calcolata sulla base delle simulazioni descritte è pari a 93 miliardi di euro (-39,1%). </w:t>
      </w:r>
    </w:p>
    <w:p w:rsidR="00E0424C" w:rsidRPr="00E324DA" w:rsidRDefault="00E0424C" w:rsidP="00E0424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</w:pPr>
    </w:p>
    <w:p w:rsidR="00E324DA" w:rsidRDefault="00E324DA" w:rsidP="00E0424C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</w:pPr>
    </w:p>
    <w:p w:rsidR="00E0424C" w:rsidRPr="00E324DA" w:rsidRDefault="00E0424C" w:rsidP="00E0424C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lastRenderedPageBreak/>
        <w:t>Tabella Simulazioni fatturato primo semestre 2020 società di capitali e variazioni annuali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623"/>
        <w:gridCol w:w="1623"/>
        <w:gridCol w:w="1513"/>
        <w:gridCol w:w="938"/>
      </w:tblGrid>
      <w:tr w:rsidR="00E0424C" w:rsidRPr="00E324DA" w:rsidTr="00860D5E">
        <w:trPr>
          <w:trHeight w:val="26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bdr w:val="none" w:sz="0" w:space="0" w:color="auto" w:frame="1"/>
                <w:lang w:eastAsia="it-IT"/>
              </w:rPr>
              <w:t>MACROAREE</w:t>
            </w: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2020</w:t>
            </w: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2019</w:t>
            </w: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VAR</w:t>
            </w: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VAR 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NORD-EST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253.583.863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322.064.990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-68.481.127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-21,3%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NORD-OVEST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488.347.999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606.833.534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-118.485.535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-19,5%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CENTRO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279.567.872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342.009.069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-62.441.197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-18,3%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MERIDIONE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84.934.829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107.846.051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-22.911.221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-21,2%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ISOLE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33.653.748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40.840.551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-7.186.803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-17,6%</w:t>
            </w:r>
          </w:p>
        </w:tc>
      </w:tr>
      <w:tr w:rsidR="00E0424C" w:rsidRPr="00E324DA" w:rsidTr="00860D5E">
        <w:trPr>
          <w:trHeight w:val="264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ITALIA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1.140.088.310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1.419.594.194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-279.505.884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4C" w:rsidRPr="00E324DA" w:rsidRDefault="00E0424C" w:rsidP="00E0424C">
            <w:pPr>
              <w:jc w:val="both"/>
              <w:rPr>
                <w:rFonts w:ascii="Arial" w:eastAsia="Times New Roman" w:hAnsi="Arial" w:cs="Arial"/>
                <w:color w:val="201F1E"/>
                <w:sz w:val="22"/>
                <w:szCs w:val="22"/>
                <w:lang w:eastAsia="it-IT"/>
              </w:rPr>
            </w:pPr>
            <w:r w:rsidRPr="00E324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it-IT"/>
              </w:rPr>
              <w:t>-19,7%</w:t>
            </w:r>
          </w:p>
        </w:tc>
      </w:tr>
    </w:tbl>
    <w:p w:rsidR="0023445F" w:rsidRPr="00E324DA" w:rsidRDefault="0023445F" w:rsidP="00E0424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</w:pPr>
    </w:p>
    <w:p w:rsidR="00E03509" w:rsidRPr="00E324DA" w:rsidRDefault="00E03509" w:rsidP="00E0424C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Le differenze territoriali riflettono la diversa struttura produttiva territoriale, soprattutto la </w:t>
      </w:r>
      <w:r w:rsidRPr="00E324DA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differente composizione del peso del fatturato</w:t>
      </w:r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 proveniente dalle attività industriali e del commercio che esprimono il peso maggiore in termini di fatturato delle società di capitali italiane e che risultano essere anche le attività più interessate dal </w:t>
      </w:r>
      <w:proofErr w:type="spellStart"/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lockdown</w:t>
      </w:r>
      <w:proofErr w:type="spellEnd"/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. In particolare, il fatturato delle società di capitali dell’industria e di quelle del commercio, complessivamente prese, pesa per il 69% sul fatturato totale. Inoltre, nel corso della fase 1 del </w:t>
      </w:r>
      <w:proofErr w:type="spellStart"/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lockdown</w:t>
      </w:r>
      <w:proofErr w:type="spellEnd"/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, il fatturato delle società appartenenti ai settori chiusi per decreto è stato pari a 41,2% per l’industria e 43,9% per il commercio, con molti sottosettori con valori anche pari al 100% (ad esempio l’intero comparto automobilistico).  </w:t>
      </w:r>
    </w:p>
    <w:p w:rsidR="006F72E2" w:rsidRPr="00E324DA" w:rsidRDefault="00E03509" w:rsidP="00E0424C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</w:t>
      </w:r>
      <w:r w:rsidR="006F72E2"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</w:t>
      </w:r>
    </w:p>
    <w:p w:rsidR="0023445F" w:rsidRPr="00E324DA" w:rsidRDefault="006F72E2" w:rsidP="00E0424C">
      <w:pPr>
        <w:jc w:val="both"/>
        <w:rPr>
          <w:rFonts w:ascii="Arial" w:hAnsi="Arial" w:cs="Arial"/>
          <w:sz w:val="22"/>
          <w:szCs w:val="22"/>
        </w:rPr>
      </w:pPr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“</w:t>
      </w:r>
      <w:r w:rsidRPr="00E324DA">
        <w:rPr>
          <w:rFonts w:ascii="Arial" w:hAnsi="Arial" w:cs="Arial"/>
          <w:sz w:val="22"/>
          <w:szCs w:val="22"/>
        </w:rPr>
        <w:t xml:space="preserve">Quella che emerge dalle </w:t>
      </w:r>
      <w:r w:rsidR="0023445F" w:rsidRPr="00E324DA">
        <w:rPr>
          <w:rFonts w:ascii="Arial" w:hAnsi="Arial" w:cs="Arial"/>
          <w:sz w:val="22"/>
          <w:szCs w:val="22"/>
        </w:rPr>
        <w:t xml:space="preserve">nostre </w:t>
      </w:r>
      <w:r w:rsidRPr="00E324DA">
        <w:rPr>
          <w:rFonts w:ascii="Arial" w:hAnsi="Arial" w:cs="Arial"/>
          <w:sz w:val="22"/>
          <w:szCs w:val="22"/>
        </w:rPr>
        <w:t xml:space="preserve">simulazioni sulla </w:t>
      </w:r>
      <w:r w:rsidRPr="00E324DA">
        <w:rPr>
          <w:rFonts w:ascii="Arial" w:hAnsi="Arial" w:cs="Arial"/>
          <w:b/>
          <w:bCs/>
          <w:sz w:val="22"/>
          <w:szCs w:val="22"/>
        </w:rPr>
        <w:t>perdita di fatturato</w:t>
      </w:r>
      <w:r w:rsidRPr="00E324DA">
        <w:rPr>
          <w:rFonts w:ascii="Arial" w:hAnsi="Arial" w:cs="Arial"/>
          <w:sz w:val="22"/>
          <w:szCs w:val="22"/>
        </w:rPr>
        <w:t xml:space="preserve"> delle società di capitali italiane nel primo semestre dell’anno</w:t>
      </w:r>
      <w:r w:rsidR="0023445F" w:rsidRPr="00E324DA">
        <w:rPr>
          <w:rFonts w:ascii="Arial" w:hAnsi="Arial" w:cs="Arial"/>
          <w:sz w:val="22"/>
          <w:szCs w:val="22"/>
        </w:rPr>
        <w:t xml:space="preserve"> – commenta il presidente del Consiglio nazionale dei commercialisti, </w:t>
      </w:r>
      <w:r w:rsidR="0023445F" w:rsidRPr="00E324DA">
        <w:rPr>
          <w:rFonts w:ascii="Arial" w:hAnsi="Arial" w:cs="Arial"/>
          <w:b/>
          <w:bCs/>
          <w:sz w:val="22"/>
          <w:szCs w:val="22"/>
        </w:rPr>
        <w:t>Massimo Miani</w:t>
      </w:r>
      <w:r w:rsidR="0023445F" w:rsidRPr="00E324DA">
        <w:rPr>
          <w:rFonts w:ascii="Arial" w:hAnsi="Arial" w:cs="Arial"/>
          <w:sz w:val="22"/>
          <w:szCs w:val="22"/>
        </w:rPr>
        <w:t xml:space="preserve"> </w:t>
      </w:r>
      <w:r w:rsidR="00A22704">
        <w:rPr>
          <w:rFonts w:ascii="Arial" w:hAnsi="Arial" w:cs="Arial"/>
          <w:sz w:val="22"/>
          <w:szCs w:val="22"/>
        </w:rPr>
        <w:t>–</w:t>
      </w:r>
      <w:r w:rsidR="0023445F" w:rsidRPr="00E324DA">
        <w:rPr>
          <w:rFonts w:ascii="Arial" w:hAnsi="Arial" w:cs="Arial"/>
          <w:sz w:val="22"/>
          <w:szCs w:val="22"/>
        </w:rPr>
        <w:t xml:space="preserve"> </w:t>
      </w:r>
      <w:r w:rsidRPr="00E324DA">
        <w:rPr>
          <w:rFonts w:ascii="Arial" w:hAnsi="Arial" w:cs="Arial"/>
          <w:sz w:val="22"/>
          <w:szCs w:val="22"/>
        </w:rPr>
        <w:t xml:space="preserve">è una </w:t>
      </w:r>
      <w:r w:rsidRPr="00E324DA">
        <w:rPr>
          <w:rFonts w:ascii="Arial" w:hAnsi="Arial" w:cs="Arial"/>
          <w:b/>
          <w:bCs/>
          <w:sz w:val="22"/>
          <w:szCs w:val="22"/>
        </w:rPr>
        <w:t>cifra impressionante</w:t>
      </w:r>
      <w:r w:rsidRPr="00E324DA">
        <w:rPr>
          <w:rFonts w:ascii="Arial" w:hAnsi="Arial" w:cs="Arial"/>
          <w:sz w:val="22"/>
          <w:szCs w:val="22"/>
        </w:rPr>
        <w:t xml:space="preserve"> che non può non destare </w:t>
      </w:r>
      <w:r w:rsidRPr="00E324DA">
        <w:rPr>
          <w:rFonts w:ascii="Arial" w:hAnsi="Arial" w:cs="Arial"/>
          <w:b/>
          <w:bCs/>
          <w:sz w:val="22"/>
          <w:szCs w:val="22"/>
        </w:rPr>
        <w:t>enorme preoccupazione</w:t>
      </w:r>
      <w:r w:rsidRPr="00E324DA">
        <w:rPr>
          <w:rFonts w:ascii="Arial" w:hAnsi="Arial" w:cs="Arial"/>
          <w:sz w:val="22"/>
          <w:szCs w:val="22"/>
        </w:rPr>
        <w:t xml:space="preserve"> per il destino delle imprese italiane</w:t>
      </w:r>
      <w:r w:rsidR="0023445F" w:rsidRPr="00E324DA">
        <w:rPr>
          <w:rFonts w:ascii="Arial" w:hAnsi="Arial" w:cs="Arial"/>
          <w:sz w:val="22"/>
          <w:szCs w:val="22"/>
        </w:rPr>
        <w:t>”</w:t>
      </w:r>
      <w:r w:rsidRPr="00E324DA">
        <w:rPr>
          <w:rFonts w:ascii="Arial" w:hAnsi="Arial" w:cs="Arial"/>
          <w:sz w:val="22"/>
          <w:szCs w:val="22"/>
        </w:rPr>
        <w:t xml:space="preserve">. </w:t>
      </w:r>
    </w:p>
    <w:p w:rsidR="0023445F" w:rsidRPr="00E324DA" w:rsidRDefault="0023445F" w:rsidP="00E0424C">
      <w:pPr>
        <w:jc w:val="both"/>
        <w:rPr>
          <w:rFonts w:ascii="Arial" w:hAnsi="Arial" w:cs="Arial"/>
          <w:sz w:val="22"/>
          <w:szCs w:val="22"/>
        </w:rPr>
      </w:pPr>
    </w:p>
    <w:p w:rsidR="006F72E2" w:rsidRPr="00E324DA" w:rsidRDefault="0023445F" w:rsidP="00E0424C">
      <w:pPr>
        <w:jc w:val="both"/>
        <w:rPr>
          <w:rFonts w:ascii="Arial" w:hAnsi="Arial" w:cs="Arial"/>
          <w:sz w:val="22"/>
          <w:szCs w:val="22"/>
        </w:rPr>
      </w:pPr>
      <w:r w:rsidRPr="00E324DA">
        <w:rPr>
          <w:rFonts w:ascii="Arial" w:hAnsi="Arial" w:cs="Arial"/>
          <w:sz w:val="22"/>
          <w:szCs w:val="22"/>
        </w:rPr>
        <w:t>“</w:t>
      </w:r>
      <w:r w:rsidR="006F72E2" w:rsidRPr="00E324DA">
        <w:rPr>
          <w:rFonts w:ascii="Arial" w:hAnsi="Arial" w:cs="Arial"/>
          <w:sz w:val="22"/>
          <w:szCs w:val="22"/>
        </w:rPr>
        <w:t>Adesso</w:t>
      </w:r>
      <w:r w:rsidRPr="00E324DA">
        <w:rPr>
          <w:rFonts w:ascii="Arial" w:hAnsi="Arial" w:cs="Arial"/>
          <w:sz w:val="22"/>
          <w:szCs w:val="22"/>
        </w:rPr>
        <w:t xml:space="preserve"> – aggiunge Miani </w:t>
      </w:r>
      <w:r w:rsidR="00A22704">
        <w:rPr>
          <w:rFonts w:ascii="Arial" w:hAnsi="Arial" w:cs="Arial"/>
          <w:sz w:val="22"/>
          <w:szCs w:val="22"/>
        </w:rPr>
        <w:t>–</w:t>
      </w:r>
      <w:r w:rsidRPr="00E324DA">
        <w:rPr>
          <w:rFonts w:ascii="Arial" w:hAnsi="Arial" w:cs="Arial"/>
          <w:sz w:val="22"/>
          <w:szCs w:val="22"/>
        </w:rPr>
        <w:t xml:space="preserve"> </w:t>
      </w:r>
      <w:r w:rsidR="006F72E2" w:rsidRPr="00E324DA">
        <w:rPr>
          <w:rFonts w:ascii="Arial" w:hAnsi="Arial" w:cs="Arial"/>
          <w:sz w:val="22"/>
          <w:szCs w:val="22"/>
        </w:rPr>
        <w:t xml:space="preserve">è urgente intervenire per spingere la ripresa, sia con interventi di </w:t>
      </w:r>
      <w:r w:rsidR="006F72E2" w:rsidRPr="00E324DA">
        <w:rPr>
          <w:rFonts w:ascii="Arial" w:hAnsi="Arial" w:cs="Arial"/>
          <w:b/>
          <w:bCs/>
          <w:sz w:val="22"/>
          <w:szCs w:val="22"/>
        </w:rPr>
        <w:t>alleggerimento della pressione finanziaria sulle imprese</w:t>
      </w:r>
      <w:r w:rsidR="006F72E2" w:rsidRPr="00E324DA">
        <w:rPr>
          <w:rFonts w:ascii="Arial" w:hAnsi="Arial" w:cs="Arial"/>
          <w:sz w:val="22"/>
          <w:szCs w:val="22"/>
        </w:rPr>
        <w:t xml:space="preserve">, a partire dal versante fiscale, sia con interventi che rafforzino il clima di sicurezza generale e quello più specifico nei settori produttivi. </w:t>
      </w:r>
      <w:r w:rsidRPr="00E324DA">
        <w:rPr>
          <w:rFonts w:ascii="Arial" w:hAnsi="Arial" w:cs="Arial"/>
          <w:sz w:val="22"/>
          <w:szCs w:val="22"/>
        </w:rPr>
        <w:t>N</w:t>
      </w:r>
      <w:r w:rsidR="006F72E2" w:rsidRPr="00E324DA">
        <w:rPr>
          <w:rFonts w:ascii="Arial" w:hAnsi="Arial" w:cs="Arial"/>
          <w:sz w:val="22"/>
          <w:szCs w:val="22"/>
        </w:rPr>
        <w:t>on ci sembra appropriato l’</w:t>
      </w:r>
      <w:r w:rsidRPr="00E324DA">
        <w:rPr>
          <w:rFonts w:ascii="Arial" w:hAnsi="Arial" w:cs="Arial"/>
          <w:sz w:val="22"/>
          <w:szCs w:val="22"/>
        </w:rPr>
        <w:t>eve</w:t>
      </w:r>
      <w:r w:rsidR="00E0424C" w:rsidRPr="00E324DA">
        <w:rPr>
          <w:rFonts w:ascii="Arial" w:hAnsi="Arial" w:cs="Arial"/>
          <w:sz w:val="22"/>
          <w:szCs w:val="22"/>
        </w:rPr>
        <w:t>n</w:t>
      </w:r>
      <w:r w:rsidRPr="00E324DA">
        <w:rPr>
          <w:rFonts w:ascii="Arial" w:hAnsi="Arial" w:cs="Arial"/>
          <w:sz w:val="22"/>
          <w:szCs w:val="22"/>
        </w:rPr>
        <w:t xml:space="preserve">tuale </w:t>
      </w:r>
      <w:r w:rsidR="006F72E2" w:rsidRPr="00E324DA">
        <w:rPr>
          <w:rFonts w:ascii="Arial" w:hAnsi="Arial" w:cs="Arial"/>
          <w:sz w:val="22"/>
          <w:szCs w:val="22"/>
        </w:rPr>
        <w:t>intervento sull’Iva</w:t>
      </w:r>
      <w:r w:rsidRPr="00E324DA">
        <w:rPr>
          <w:rFonts w:ascii="Arial" w:hAnsi="Arial" w:cs="Arial"/>
          <w:sz w:val="22"/>
          <w:szCs w:val="22"/>
        </w:rPr>
        <w:t xml:space="preserve">, </w:t>
      </w:r>
      <w:r w:rsidR="006F72E2" w:rsidRPr="00E324DA">
        <w:rPr>
          <w:rFonts w:ascii="Arial" w:hAnsi="Arial" w:cs="Arial"/>
          <w:sz w:val="22"/>
          <w:szCs w:val="22"/>
        </w:rPr>
        <w:t>oneroso per il bilancio pubblico ma molto poco stimolante per la ripresa di consumi e investimenti</w:t>
      </w:r>
      <w:r w:rsidRPr="00E324DA">
        <w:rPr>
          <w:rFonts w:ascii="Arial" w:hAnsi="Arial" w:cs="Arial"/>
          <w:sz w:val="22"/>
          <w:szCs w:val="22"/>
        </w:rPr>
        <w:t>, mentre</w:t>
      </w:r>
      <w:r w:rsidR="006F72E2" w:rsidRPr="00E324DA">
        <w:rPr>
          <w:rFonts w:ascii="Arial" w:hAnsi="Arial" w:cs="Arial"/>
          <w:sz w:val="22"/>
          <w:szCs w:val="22"/>
        </w:rPr>
        <w:t xml:space="preserve"> </w:t>
      </w:r>
      <w:r w:rsidR="006F72E2" w:rsidRPr="00E324DA">
        <w:rPr>
          <w:rFonts w:ascii="Arial" w:hAnsi="Arial" w:cs="Arial"/>
          <w:b/>
          <w:bCs/>
          <w:sz w:val="22"/>
          <w:szCs w:val="22"/>
        </w:rPr>
        <w:t xml:space="preserve">molto importanti </w:t>
      </w:r>
      <w:r w:rsidRPr="00E324DA">
        <w:rPr>
          <w:rFonts w:ascii="Arial" w:hAnsi="Arial" w:cs="Arial"/>
          <w:b/>
          <w:bCs/>
          <w:sz w:val="22"/>
          <w:szCs w:val="22"/>
        </w:rPr>
        <w:t xml:space="preserve">appaiono </w:t>
      </w:r>
      <w:r w:rsidR="006F72E2" w:rsidRPr="00E324DA">
        <w:rPr>
          <w:rFonts w:ascii="Arial" w:hAnsi="Arial" w:cs="Arial"/>
          <w:b/>
          <w:bCs/>
          <w:sz w:val="22"/>
          <w:szCs w:val="22"/>
        </w:rPr>
        <w:t>gli interventi di stimolazione produttiva come l’ecobonus al 110%</w:t>
      </w:r>
      <w:r w:rsidR="006F72E2" w:rsidRPr="00E324DA">
        <w:rPr>
          <w:rFonts w:ascii="Arial" w:hAnsi="Arial" w:cs="Arial"/>
          <w:sz w:val="22"/>
          <w:szCs w:val="22"/>
        </w:rPr>
        <w:t>, a patto però che vengano lanciati velocemente in un quadro regolatorio il più chiaro e trasparente possibile</w:t>
      </w:r>
      <w:r w:rsidR="00E0424C" w:rsidRPr="00E324DA">
        <w:rPr>
          <w:rFonts w:ascii="Arial" w:hAnsi="Arial" w:cs="Arial"/>
          <w:sz w:val="22"/>
          <w:szCs w:val="22"/>
        </w:rPr>
        <w:t>”</w:t>
      </w:r>
      <w:r w:rsidR="006F72E2" w:rsidRPr="00E324DA">
        <w:rPr>
          <w:rFonts w:ascii="Arial" w:hAnsi="Arial" w:cs="Arial"/>
          <w:sz w:val="22"/>
          <w:szCs w:val="22"/>
        </w:rPr>
        <w:t xml:space="preserve">. </w:t>
      </w:r>
    </w:p>
    <w:p w:rsidR="00DF3FD1" w:rsidRPr="00E324DA" w:rsidRDefault="00DF3FD1" w:rsidP="00E0424C">
      <w:pPr>
        <w:jc w:val="both"/>
        <w:rPr>
          <w:rFonts w:ascii="Arial" w:hAnsi="Arial" w:cs="Arial"/>
          <w:sz w:val="22"/>
          <w:szCs w:val="22"/>
        </w:rPr>
      </w:pPr>
    </w:p>
    <w:p w:rsidR="006F72E2" w:rsidRPr="00E324DA" w:rsidRDefault="006F72E2" w:rsidP="00E0424C">
      <w:pPr>
        <w:jc w:val="both"/>
        <w:rPr>
          <w:rFonts w:ascii="Arial" w:hAnsi="Arial" w:cs="Arial"/>
          <w:sz w:val="22"/>
          <w:szCs w:val="22"/>
        </w:rPr>
      </w:pPr>
      <w:r w:rsidRPr="00E324DA">
        <w:rPr>
          <w:rFonts w:ascii="Arial" w:hAnsi="Arial" w:cs="Arial"/>
          <w:sz w:val="22"/>
          <w:szCs w:val="22"/>
        </w:rPr>
        <w:t xml:space="preserve">Oltre a ciò, </w:t>
      </w:r>
      <w:r w:rsidR="00E0424C" w:rsidRPr="00E324DA">
        <w:rPr>
          <w:rFonts w:ascii="Arial" w:hAnsi="Arial" w:cs="Arial"/>
          <w:sz w:val="22"/>
          <w:szCs w:val="22"/>
        </w:rPr>
        <w:t>secondo Miani “</w:t>
      </w:r>
      <w:r w:rsidRPr="00E324DA">
        <w:rPr>
          <w:rFonts w:ascii="Arial" w:hAnsi="Arial" w:cs="Arial"/>
          <w:sz w:val="22"/>
          <w:szCs w:val="22"/>
        </w:rPr>
        <w:t xml:space="preserve">sarà fondamentale disegnare nel medio periodo una </w:t>
      </w:r>
      <w:r w:rsidRPr="00E324DA">
        <w:rPr>
          <w:rFonts w:ascii="Arial" w:hAnsi="Arial" w:cs="Arial"/>
          <w:b/>
          <w:bCs/>
          <w:sz w:val="22"/>
          <w:szCs w:val="22"/>
        </w:rPr>
        <w:t>riforma fiscale</w:t>
      </w:r>
      <w:r w:rsidRPr="00E324DA">
        <w:rPr>
          <w:rFonts w:ascii="Arial" w:hAnsi="Arial" w:cs="Arial"/>
          <w:sz w:val="22"/>
          <w:szCs w:val="22"/>
        </w:rPr>
        <w:t xml:space="preserve"> che completando il riequilibrio ormai interrotto tra la tassazione sul lavoro e quella sui consumi, riduca la pressione fiscale sul ceto medio e sui giovani, così da favorire sia un accrescimento del reddito spendibile da parte delle famiglie con figli, che hanno una più elevata propensione al consumo, sia incentivando la propensione a lavorare delle fasce più deboli e l’emersione del nero</w:t>
      </w:r>
      <w:r w:rsidR="00DF3FD1" w:rsidRPr="00E324DA">
        <w:rPr>
          <w:rFonts w:ascii="Arial" w:hAnsi="Arial" w:cs="Arial"/>
          <w:sz w:val="22"/>
          <w:szCs w:val="22"/>
        </w:rPr>
        <w:t>”</w:t>
      </w:r>
      <w:r w:rsidRPr="00E324DA">
        <w:rPr>
          <w:rFonts w:ascii="Arial" w:hAnsi="Arial" w:cs="Arial"/>
          <w:sz w:val="22"/>
          <w:szCs w:val="22"/>
        </w:rPr>
        <w:t xml:space="preserve">. </w:t>
      </w:r>
    </w:p>
    <w:p w:rsidR="006F72E2" w:rsidRPr="00E324DA" w:rsidRDefault="006F72E2" w:rsidP="00E0424C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</w:t>
      </w:r>
    </w:p>
    <w:p w:rsidR="00697A81" w:rsidRPr="00E324DA" w:rsidRDefault="00697A81" w:rsidP="00697A81">
      <w:pPr>
        <w:shd w:val="clear" w:color="auto" w:fill="FFFFFF"/>
        <w:jc w:val="both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E324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Info per la stampa: </w:t>
      </w:r>
    </w:p>
    <w:p w:rsidR="00697A81" w:rsidRPr="00E324DA" w:rsidRDefault="00697A81" w:rsidP="00697A81">
      <w:pPr>
        <w:shd w:val="clear" w:color="auto" w:fill="FFFFFF"/>
        <w:jc w:val="both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:rsidR="00697A81" w:rsidRPr="00E324DA" w:rsidRDefault="00697A81" w:rsidP="00697A81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324DA">
        <w:rPr>
          <w:rFonts w:ascii="Arial" w:hAnsi="Arial" w:cs="Arial"/>
          <w:color w:val="000000"/>
          <w:sz w:val="22"/>
          <w:szCs w:val="22"/>
        </w:rPr>
        <w:t xml:space="preserve">Mauro Parracino: 334.3837514 </w:t>
      </w:r>
    </w:p>
    <w:p w:rsidR="00697A81" w:rsidRPr="00E324DA" w:rsidRDefault="00697A81" w:rsidP="00697A81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Sabino Cirulli: 349.2165175</w:t>
      </w:r>
    </w:p>
    <w:p w:rsidR="00697A81" w:rsidRPr="00E324DA" w:rsidRDefault="00697A81" w:rsidP="00697A8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324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 </w:t>
      </w:r>
    </w:p>
    <w:p w:rsidR="006F72E2" w:rsidRPr="00E324DA" w:rsidRDefault="006F72E2" w:rsidP="00E0424C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</w:p>
    <w:p w:rsidR="006F72E2" w:rsidRPr="00E324DA" w:rsidRDefault="006F72E2" w:rsidP="00E0424C">
      <w:pPr>
        <w:shd w:val="clear" w:color="auto" w:fill="FFFFFF"/>
        <w:jc w:val="both"/>
        <w:rPr>
          <w:rFonts w:ascii="Arial" w:eastAsia="Times New Roman" w:hAnsi="Arial" w:cs="Arial"/>
          <w:color w:val="201F1E"/>
          <w:sz w:val="22"/>
          <w:szCs w:val="22"/>
          <w:lang w:eastAsia="it-IT"/>
        </w:rPr>
      </w:pPr>
      <w:r w:rsidRPr="00E324DA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eastAsia="it-IT"/>
        </w:rPr>
        <w:t> </w:t>
      </w:r>
    </w:p>
    <w:p w:rsidR="00B3271C" w:rsidRPr="00E324DA" w:rsidRDefault="008B18EC" w:rsidP="00E0424C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B3271C" w:rsidRPr="00E324DA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8EC" w:rsidRDefault="008B18EC" w:rsidP="00627996">
      <w:r>
        <w:separator/>
      </w:r>
    </w:p>
  </w:endnote>
  <w:endnote w:type="continuationSeparator" w:id="0">
    <w:p w:rsidR="008B18EC" w:rsidRDefault="008B18EC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8EC" w:rsidRDefault="008B18EC" w:rsidP="00627996">
      <w:r>
        <w:separator/>
      </w:r>
    </w:p>
  </w:footnote>
  <w:footnote w:type="continuationSeparator" w:id="0">
    <w:p w:rsidR="008B18EC" w:rsidRDefault="008B18EC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3445F"/>
    <w:rsid w:val="00240E73"/>
    <w:rsid w:val="002714F4"/>
    <w:rsid w:val="002B1170"/>
    <w:rsid w:val="002B1507"/>
    <w:rsid w:val="002E31F2"/>
    <w:rsid w:val="003248FA"/>
    <w:rsid w:val="00374A44"/>
    <w:rsid w:val="003C2FC0"/>
    <w:rsid w:val="0040411F"/>
    <w:rsid w:val="004E16A5"/>
    <w:rsid w:val="00595991"/>
    <w:rsid w:val="00627996"/>
    <w:rsid w:val="00656CC5"/>
    <w:rsid w:val="00697A81"/>
    <w:rsid w:val="006F72E2"/>
    <w:rsid w:val="00734687"/>
    <w:rsid w:val="008B18EC"/>
    <w:rsid w:val="00986D90"/>
    <w:rsid w:val="009D1104"/>
    <w:rsid w:val="009F27EC"/>
    <w:rsid w:val="00A22704"/>
    <w:rsid w:val="00AC6BB0"/>
    <w:rsid w:val="00B03E48"/>
    <w:rsid w:val="00D0285A"/>
    <w:rsid w:val="00D41E98"/>
    <w:rsid w:val="00DB4B99"/>
    <w:rsid w:val="00DF3FD1"/>
    <w:rsid w:val="00E03509"/>
    <w:rsid w:val="00E0424C"/>
    <w:rsid w:val="00E3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9DC1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xmsonormal">
    <w:name w:val="x_msonormal"/>
    <w:basedOn w:val="Normale"/>
    <w:rsid w:val="006F72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xmsohyperlink">
    <w:name w:val="x_msohyperlink"/>
    <w:basedOn w:val="Carpredefinitoparagrafo"/>
    <w:rsid w:val="006F72E2"/>
  </w:style>
  <w:style w:type="character" w:styleId="Collegamentoipertestuale">
    <w:name w:val="Hyperlink"/>
    <w:basedOn w:val="Carpredefinitoparagrafo"/>
    <w:uiPriority w:val="99"/>
    <w:unhideWhenUsed/>
    <w:rsid w:val="006F72E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7A8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697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2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5</cp:revision>
  <dcterms:created xsi:type="dcterms:W3CDTF">2020-07-08T08:11:00Z</dcterms:created>
  <dcterms:modified xsi:type="dcterms:W3CDTF">2020-07-14T06:53:00Z</dcterms:modified>
</cp:coreProperties>
</file>