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FF47" w14:textId="77777777" w:rsidR="00BE7F0C" w:rsidRPr="0094080D" w:rsidRDefault="00BE7F0C" w:rsidP="009D7F60">
      <w:pPr>
        <w:pStyle w:val="NormaleWeb"/>
        <w:jc w:val="both"/>
        <w:rPr>
          <w:rFonts w:ascii="Arial" w:hAnsi="Arial" w:cs="Arial"/>
          <w:b/>
          <w:bCs/>
        </w:rPr>
      </w:pPr>
    </w:p>
    <w:p w14:paraId="32D5C9B7" w14:textId="77777777" w:rsidR="009D7F60" w:rsidRDefault="009D7F60" w:rsidP="009D7F60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656FAA8" w14:textId="77777777" w:rsidR="0057299F" w:rsidRPr="00DB41B6" w:rsidRDefault="0057299F" w:rsidP="00DB41B6">
      <w:pPr>
        <w:pStyle w:val="elementtoproof"/>
        <w:jc w:val="center"/>
        <w:rPr>
          <w:rFonts w:ascii="Arial" w:hAnsi="Arial" w:cs="Arial"/>
          <w:sz w:val="23"/>
          <w:szCs w:val="23"/>
        </w:rPr>
      </w:pPr>
      <w:r w:rsidRPr="00DB41B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51DAA325" w14:textId="77777777" w:rsidR="0057299F" w:rsidRDefault="0057299F" w:rsidP="00DB41B6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DB41B6">
        <w:rPr>
          <w:rFonts w:ascii="Arial" w:hAnsi="Arial" w:cs="Arial"/>
          <w:b/>
          <w:bCs/>
          <w:color w:val="9AADDC"/>
          <w:sz w:val="23"/>
          <w:szCs w:val="23"/>
        </w:rPr>
        <w:br/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CRISI D’IMPRESA, DAI COMMERCIALISTI IL NUOVO NUMERO DELL’OSSERVATORIO INTERNAZIONALE</w:t>
      </w:r>
    </w:p>
    <w:p w14:paraId="2C8C02D3" w14:textId="77777777" w:rsidR="00DB41B6" w:rsidRPr="00DB41B6" w:rsidRDefault="00DB41B6" w:rsidP="00DB41B6">
      <w:pPr>
        <w:pStyle w:val="NormaleWeb"/>
        <w:jc w:val="center"/>
        <w:rPr>
          <w:rFonts w:ascii="Arial" w:hAnsi="Arial" w:cs="Arial"/>
          <w:sz w:val="23"/>
          <w:szCs w:val="23"/>
        </w:rPr>
      </w:pPr>
    </w:p>
    <w:p w14:paraId="4BB1B169" w14:textId="77777777" w:rsidR="0057299F" w:rsidRPr="00DB41B6" w:rsidRDefault="0057299F" w:rsidP="00DB41B6">
      <w:pPr>
        <w:pStyle w:val="NormaleWeb"/>
        <w:jc w:val="center"/>
        <w:rPr>
          <w:rFonts w:ascii="Arial" w:hAnsi="Arial" w:cs="Arial"/>
          <w:sz w:val="23"/>
          <w:szCs w:val="23"/>
        </w:rPr>
      </w:pP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Commentate novità legislative e giurisprudenziali relative all’insolvenza in ambito internazionale e transnazionale di fine 2023 e di inizio 2024</w:t>
      </w:r>
    </w:p>
    <w:p w14:paraId="7AEFE35B" w14:textId="77777777" w:rsidR="0057299F" w:rsidRPr="00DB41B6" w:rsidRDefault="0057299F" w:rsidP="00DB41B6">
      <w:pPr>
        <w:pStyle w:val="NormaleWeb"/>
        <w:jc w:val="center"/>
        <w:rPr>
          <w:rFonts w:ascii="Arial" w:hAnsi="Arial" w:cs="Arial"/>
          <w:sz w:val="23"/>
          <w:szCs w:val="23"/>
        </w:rPr>
      </w:pP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14:paraId="5FF20E92" w14:textId="77777777" w:rsidR="0057299F" w:rsidRDefault="0057299F" w:rsidP="00DB41B6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  <w:r w:rsidRPr="00DB41B6">
        <w:rPr>
          <w:rFonts w:ascii="Arial" w:hAnsi="Arial" w:cs="Arial"/>
          <w:i/>
          <w:iCs/>
          <w:color w:val="000000"/>
          <w:sz w:val="23"/>
          <w:szCs w:val="23"/>
        </w:rPr>
        <w:t>Roma, 9 febbraio 2024 –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 Il Consiglio e la Fondazione nazionali dei Commercialisti hanno pubblicato il nuovo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Osservatorio internazionale sulla crisi d’impresa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.  Nel fascicolo, che contiene il decimo e l’undicesimo numero della pubblicazione, sono commentate alcune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novità legislative e giurisprudenziali </w:t>
      </w:r>
      <w:r w:rsidRPr="00DB41B6">
        <w:rPr>
          <w:rFonts w:ascii="Arial" w:hAnsi="Arial" w:cs="Arial"/>
          <w:color w:val="000000"/>
          <w:sz w:val="23"/>
          <w:szCs w:val="23"/>
        </w:rPr>
        <w:t>relative all’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insolvenza</w:t>
      </w:r>
      <w:r w:rsidRPr="00DB41B6">
        <w:rPr>
          <w:rFonts w:ascii="Arial" w:hAnsi="Arial" w:cs="Arial"/>
          <w:color w:val="000000"/>
          <w:sz w:val="23"/>
          <w:szCs w:val="23"/>
        </w:rPr>
        <w:t> in ambito internazionale e transnazionale di fine 2023 e di inizio 2024. Nelle sezioni e nei commenti si annotano recenti modifiche legislative, rilevanti pronunce pubblicate negli ultimi mesi sull’insolvenza e sulla ristrutturazione in Europa e nel resto del mondo e si segnalano interessanti novità per i professionisti del settore.</w:t>
      </w:r>
    </w:p>
    <w:p w14:paraId="649F5592" w14:textId="77777777" w:rsidR="00DB41B6" w:rsidRPr="00DB41B6" w:rsidRDefault="00DB41B6" w:rsidP="00DB41B6">
      <w:pPr>
        <w:pStyle w:val="elementtoproof"/>
        <w:jc w:val="both"/>
        <w:rPr>
          <w:rFonts w:ascii="Arial" w:hAnsi="Arial" w:cs="Arial"/>
          <w:sz w:val="23"/>
          <w:szCs w:val="23"/>
        </w:rPr>
      </w:pPr>
    </w:p>
    <w:p w14:paraId="6425E242" w14:textId="77777777" w:rsidR="0057299F" w:rsidRDefault="0057299F" w:rsidP="00DB41B6">
      <w:pPr>
        <w:pStyle w:val="elementtoproof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>Oltre alle novità normative e giurisprudenziali che in alcuni casi sviluppano, in continuità con il passato, tematiche affrontate nelle precedenti pubblicazioni, particolarmente ricca e interessante si presenta la sezione relativa agli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 approfondimenti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 in cui le riflessioni si snodano, lungo differenti piani di indagine, su problematiche e temi di particolare rilievo per le funzioni svolte dai professionisti della crisi e dell’insolvenza, anche in considerazione delle dinamiche che tradizionalmente interessano procedure a carattere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transfrontaliero.</w:t>
      </w:r>
    </w:p>
    <w:p w14:paraId="2FC3B010" w14:textId="77777777" w:rsidR="00DB41B6" w:rsidRPr="00DB41B6" w:rsidRDefault="00DB41B6" w:rsidP="00DB41B6">
      <w:pPr>
        <w:pStyle w:val="elementtoproof"/>
        <w:jc w:val="both"/>
        <w:rPr>
          <w:rFonts w:ascii="Arial" w:hAnsi="Arial" w:cs="Arial"/>
          <w:sz w:val="23"/>
          <w:szCs w:val="23"/>
        </w:rPr>
      </w:pPr>
    </w:p>
    <w:p w14:paraId="1C65FB69" w14:textId="77777777" w:rsidR="0057299F" w:rsidRDefault="0057299F" w:rsidP="00DB41B6">
      <w:pPr>
        <w:pStyle w:val="NormaleWeb"/>
        <w:jc w:val="both"/>
        <w:rPr>
          <w:rFonts w:ascii="Arial" w:hAnsi="Arial" w:cs="Arial"/>
          <w:color w:val="000000"/>
          <w:spacing w:val="-2"/>
          <w:sz w:val="23"/>
          <w:szCs w:val="23"/>
        </w:rPr>
      </w:pPr>
      <w:r w:rsidRPr="00DB41B6">
        <w:rPr>
          <w:rFonts w:ascii="Arial" w:hAnsi="Arial" w:cs="Arial"/>
          <w:color w:val="000000"/>
          <w:spacing w:val="-2"/>
          <w:sz w:val="23"/>
          <w:szCs w:val="23"/>
        </w:rPr>
        <w:t>In questa prospettiva, a titolo d’esempio, le procedure di gruppo sono oggetto di riflessione in due saggi.</w:t>
      </w:r>
    </w:p>
    <w:p w14:paraId="7996CE41" w14:textId="77777777" w:rsidR="00DB41B6" w:rsidRPr="00DB41B6" w:rsidRDefault="00DB41B6" w:rsidP="00DB41B6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0F6AA12C" w14:textId="77777777" w:rsidR="0057299F" w:rsidRDefault="0057299F" w:rsidP="00DB41B6">
      <w:pPr>
        <w:pStyle w:val="NormaleWeb"/>
        <w:jc w:val="both"/>
        <w:rPr>
          <w:rFonts w:ascii="Arial" w:hAnsi="Arial" w:cs="Arial"/>
          <w:color w:val="000000"/>
          <w:spacing w:val="-4"/>
          <w:sz w:val="23"/>
          <w:szCs w:val="23"/>
        </w:rPr>
      </w:pP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Il primo saggio, di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Luciano Panzani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 e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Robert Van </w:t>
      </w:r>
      <w:proofErr w:type="spellStart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Galen</w:t>
      </w:r>
      <w:proofErr w:type="spellEnd"/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, dopo aver ripercorso l’evoluzione normativa in ambito UE e le principali caratteristiche della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Model </w:t>
      </w:r>
      <w:proofErr w:type="spellStart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Law</w:t>
      </w:r>
      <w:proofErr w:type="spellEnd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 dell’</w:t>
      </w:r>
      <w:proofErr w:type="spellStart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Uncitral</w:t>
      </w:r>
      <w:proofErr w:type="spellEnd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 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sull’insolvenza del gruppo societario, formula proposte di interesse per promuovere l’applicazione di una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procedura di coordinamento 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dei gruppi insolventi. Il secondo saggio, di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Lorenzo Benedetti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, effettuando una comparazione con gli analoghi istituti disciplinati nelle normative di altri paesi dell’Unione in relazione al </w:t>
      </w:r>
      <w:proofErr w:type="spellStart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third</w:t>
      </w:r>
      <w:proofErr w:type="spellEnd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 party release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, al divieto di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ipso facto </w:t>
      </w:r>
      <w:proofErr w:type="spellStart"/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clauses</w:t>
      </w:r>
      <w:proofErr w:type="spellEnd"/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, allo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stay nel contesto del gruppo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 xml:space="preserve">, si sofferma sulle lacune riscontrabili nel vigente </w:t>
      </w:r>
      <w:r w:rsidRPr="00DB41B6"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Codice della Crisi</w:t>
      </w:r>
      <w:r w:rsidRPr="00DB41B6">
        <w:rPr>
          <w:rFonts w:ascii="Arial" w:hAnsi="Arial" w:cs="Arial"/>
          <w:color w:val="000000"/>
          <w:spacing w:val="-4"/>
          <w:sz w:val="23"/>
          <w:szCs w:val="23"/>
        </w:rPr>
        <w:t>, tarato più sull’impresa monade che sulle dinamiche proprie del gruppo di imprese.</w:t>
      </w:r>
    </w:p>
    <w:p w14:paraId="51EF16BA" w14:textId="77777777" w:rsidR="00DB41B6" w:rsidRPr="00DB41B6" w:rsidRDefault="00DB41B6" w:rsidP="00DB41B6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08B5C70A" w14:textId="77777777" w:rsidR="0057299F" w:rsidRDefault="0057299F" w:rsidP="00DB41B6">
      <w:pPr>
        <w:pStyle w:val="NormaleWeb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 xml:space="preserve">Nella selezione delle giurisdizioni da investigare e delle normative da esaminare anche a seguito dell’attuazione della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Direttiva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Insolvency</w:t>
      </w:r>
      <w:proofErr w:type="spellEnd"/>
      <w:r w:rsidRPr="00DB41B6">
        <w:rPr>
          <w:rFonts w:ascii="Arial" w:hAnsi="Arial" w:cs="Arial"/>
          <w:color w:val="000000"/>
          <w:sz w:val="23"/>
          <w:szCs w:val="23"/>
        </w:rPr>
        <w:t xml:space="preserve">, l’osservatorio accorda particolare preferenza alla Francia, cui sono dedicati il saggio di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Jean-Luc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Vallens</w:t>
      </w:r>
      <w:proofErr w:type="spellEnd"/>
      <w:r w:rsidRPr="00DB41B6">
        <w:rPr>
          <w:rFonts w:ascii="Arial" w:hAnsi="Arial" w:cs="Arial"/>
          <w:color w:val="000000"/>
          <w:sz w:val="23"/>
          <w:szCs w:val="23"/>
        </w:rPr>
        <w:t xml:space="preserve"> e l’articolo di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Maurizia Venezia e Roberta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Annaratone</w:t>
      </w:r>
      <w:proofErr w:type="spellEnd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14:paraId="499E42EC" w14:textId="77777777" w:rsidR="00DB41B6" w:rsidRPr="00DB41B6" w:rsidRDefault="00DB41B6" w:rsidP="00DB41B6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40A18AFF" w14:textId="77777777" w:rsidR="0057299F" w:rsidRPr="00DB41B6" w:rsidRDefault="0057299F" w:rsidP="00DB41B6">
      <w:pPr>
        <w:pStyle w:val="NormaleWeb"/>
        <w:jc w:val="both"/>
        <w:rPr>
          <w:rFonts w:ascii="Arial" w:hAnsi="Arial" w:cs="Arial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 xml:space="preserve">Nel primo contributo si analizza la speciale disciplina della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difficoltà finanziaria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 dei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syndicat</w:t>
      </w:r>
      <w:proofErr w:type="spellEnd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 de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coproprieté</w:t>
      </w:r>
      <w:proofErr w:type="spellEnd"/>
      <w:r w:rsidRPr="00DB41B6">
        <w:rPr>
          <w:rFonts w:ascii="Arial" w:hAnsi="Arial" w:cs="Arial"/>
          <w:color w:val="000000"/>
          <w:sz w:val="23"/>
          <w:szCs w:val="23"/>
        </w:rPr>
        <w:t xml:space="preserve"> - persone giuridiche di diritto privato costituite sotto forma di società civile - rispetto alla quale non trovano applicazione le disposizioni contenute nel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Codice di commercio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; il secondo scritto offre alcune riflessioni sulla disciplina del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diritto della crisi francese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 a seguito dell’attuazione della Direttiva </w:t>
      </w:r>
      <w:proofErr w:type="spellStart"/>
      <w:r w:rsidRPr="00DB41B6">
        <w:rPr>
          <w:rFonts w:ascii="Arial" w:hAnsi="Arial" w:cs="Arial"/>
          <w:color w:val="000000"/>
          <w:sz w:val="23"/>
          <w:szCs w:val="23"/>
        </w:rPr>
        <w:t>Insolvency</w:t>
      </w:r>
      <w:proofErr w:type="spellEnd"/>
      <w:r w:rsidRPr="00DB41B6">
        <w:rPr>
          <w:rFonts w:ascii="Arial" w:hAnsi="Arial" w:cs="Arial"/>
          <w:color w:val="000000"/>
          <w:sz w:val="23"/>
          <w:szCs w:val="23"/>
        </w:rPr>
        <w:t xml:space="preserve">, con particolare approfondimento delle dinamiche di governance e dei rapporti tra soci e amministratori nei c.d. preventive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restructuring</w:t>
      </w:r>
      <w:proofErr w:type="spellEnd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 frameworks</w:t>
      </w:r>
      <w:r w:rsidRPr="00DB41B6">
        <w:rPr>
          <w:rFonts w:ascii="Arial" w:hAnsi="Arial" w:cs="Arial"/>
          <w:color w:val="000000"/>
          <w:sz w:val="23"/>
          <w:szCs w:val="23"/>
        </w:rPr>
        <w:t>.</w:t>
      </w:r>
    </w:p>
    <w:p w14:paraId="7BDC8A7C" w14:textId="77777777" w:rsidR="00DB41B6" w:rsidRDefault="00DB41B6" w:rsidP="00DB41B6">
      <w:pPr>
        <w:pStyle w:val="NormaleWeb"/>
        <w:jc w:val="both"/>
        <w:rPr>
          <w:rFonts w:ascii="Arial" w:hAnsi="Arial" w:cs="Arial"/>
          <w:color w:val="000000"/>
          <w:sz w:val="23"/>
          <w:szCs w:val="23"/>
        </w:rPr>
      </w:pPr>
    </w:p>
    <w:p w14:paraId="105E339A" w14:textId="48262EC1" w:rsidR="0057299F" w:rsidRDefault="0057299F" w:rsidP="00DB41B6">
      <w:pPr>
        <w:pStyle w:val="NormaleWeb"/>
        <w:jc w:val="both"/>
        <w:rPr>
          <w:rFonts w:ascii="Arial" w:hAnsi="Arial" w:cs="Arial"/>
          <w:color w:val="000000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 xml:space="preserve">Anche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l’ordinamento austriaco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 è stato oggetto di indagine con un contributo di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Karl-Heinz Goetze</w:t>
      </w:r>
      <w:r w:rsidRPr="00DB41B6">
        <w:rPr>
          <w:rFonts w:ascii="Arial" w:hAnsi="Arial" w:cs="Arial"/>
          <w:color w:val="000000"/>
          <w:sz w:val="23"/>
          <w:szCs w:val="23"/>
        </w:rPr>
        <w:t xml:space="preserve"> sullo sviluppo delle organizzazioni preposte a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tutela dei creditori</w:t>
      </w:r>
      <w:r w:rsidRPr="00DB41B6">
        <w:rPr>
          <w:rFonts w:ascii="Arial" w:hAnsi="Arial" w:cs="Arial"/>
          <w:color w:val="000000"/>
          <w:sz w:val="23"/>
          <w:szCs w:val="23"/>
        </w:rPr>
        <w:t> con regole che si connotano per unicità in tutta Europa. Il crescente numero di procedure di insolvenza e la conseguente necessità di tutelare gli interessi dei creditori ha spinto il legislatore austriaco a creare istituti che adempiano a questa funzione.</w:t>
      </w:r>
    </w:p>
    <w:p w14:paraId="25DA70CD" w14:textId="77777777" w:rsidR="00DB41B6" w:rsidRPr="00DB41B6" w:rsidRDefault="00DB41B6" w:rsidP="00DB41B6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08EE620E" w14:textId="77777777" w:rsidR="0057299F" w:rsidRDefault="0057299F" w:rsidP="00DB41B6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 xml:space="preserve">Chiude la sezione il contributo di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 xml:space="preserve">Antonella </w:t>
      </w:r>
      <w:proofErr w:type="spellStart"/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Tanico</w:t>
      </w:r>
      <w:proofErr w:type="spellEnd"/>
      <w:r w:rsidRPr="00DB41B6">
        <w:rPr>
          <w:rFonts w:ascii="Arial" w:hAnsi="Arial" w:cs="Arial"/>
          <w:color w:val="000000"/>
          <w:sz w:val="23"/>
          <w:szCs w:val="23"/>
        </w:rPr>
        <w:t xml:space="preserve"> sull’inquadramento giuridico e il trattamento delle </w:t>
      </w:r>
      <w:r w:rsidRPr="00DB41B6">
        <w:rPr>
          <w:rFonts w:ascii="Arial" w:hAnsi="Arial" w:cs="Arial"/>
          <w:b/>
          <w:bCs/>
          <w:color w:val="000000"/>
          <w:sz w:val="23"/>
          <w:szCs w:val="23"/>
        </w:rPr>
        <w:t>criptovalute in Hong Kong</w:t>
      </w:r>
      <w:r w:rsidRPr="00DB41B6">
        <w:rPr>
          <w:rFonts w:ascii="Arial" w:hAnsi="Arial" w:cs="Arial"/>
          <w:color w:val="000000"/>
          <w:sz w:val="23"/>
          <w:szCs w:val="23"/>
        </w:rPr>
        <w:t>.</w:t>
      </w:r>
    </w:p>
    <w:p w14:paraId="08C0A411" w14:textId="77777777" w:rsidR="00DB41B6" w:rsidRPr="00DB41B6" w:rsidRDefault="00DB41B6" w:rsidP="00DB41B6">
      <w:pPr>
        <w:pStyle w:val="elementtoproof"/>
        <w:jc w:val="both"/>
        <w:rPr>
          <w:rFonts w:ascii="Arial" w:hAnsi="Arial" w:cs="Arial"/>
          <w:sz w:val="23"/>
          <w:szCs w:val="23"/>
        </w:rPr>
      </w:pPr>
    </w:p>
    <w:p w14:paraId="3C347506" w14:textId="77777777" w:rsidR="0057299F" w:rsidRPr="00DB41B6" w:rsidRDefault="0057299F" w:rsidP="00DB41B6">
      <w:pPr>
        <w:pStyle w:val="elementtoproof"/>
        <w:jc w:val="both"/>
        <w:rPr>
          <w:rFonts w:ascii="Arial" w:hAnsi="Arial" w:cs="Arial"/>
          <w:sz w:val="23"/>
          <w:szCs w:val="23"/>
        </w:rPr>
      </w:pPr>
      <w:r w:rsidRPr="00DB41B6">
        <w:rPr>
          <w:rFonts w:ascii="Arial" w:hAnsi="Arial" w:cs="Arial"/>
          <w:color w:val="000000"/>
          <w:sz w:val="23"/>
          <w:szCs w:val="23"/>
        </w:rPr>
        <w:t xml:space="preserve">La pubblicazione è scaricabile dal sito della </w:t>
      </w:r>
      <w:hyperlink r:id="rId6" w:tooltip="https://www.fondazionenazionalecommercialisti.it/" w:history="1">
        <w:r w:rsidRPr="00DB41B6">
          <w:rPr>
            <w:rStyle w:val="Collegamentoipertestuale"/>
            <w:rFonts w:ascii="Arial" w:hAnsi="Arial" w:cs="Arial"/>
            <w:sz w:val="23"/>
            <w:szCs w:val="23"/>
          </w:rPr>
          <w:t>Fondazione nazionale commercialisti</w:t>
        </w:r>
      </w:hyperlink>
      <w:r w:rsidRPr="00DB41B6">
        <w:rPr>
          <w:rFonts w:ascii="Arial" w:hAnsi="Arial" w:cs="Arial"/>
          <w:color w:val="000000"/>
          <w:sz w:val="23"/>
          <w:szCs w:val="23"/>
        </w:rPr>
        <w:t>. </w:t>
      </w:r>
    </w:p>
    <w:p w14:paraId="1867F4DA" w14:textId="04A05D2D" w:rsidR="00607512" w:rsidRPr="00DB41B6" w:rsidRDefault="00607512" w:rsidP="00DB41B6">
      <w:pPr>
        <w:jc w:val="center"/>
        <w:rPr>
          <w:rFonts w:ascii="Arial" w:hAnsi="Arial" w:cs="Arial"/>
          <w:sz w:val="23"/>
          <w:szCs w:val="23"/>
        </w:rPr>
      </w:pPr>
    </w:p>
    <w:sectPr w:rsidR="00607512" w:rsidRPr="00DB41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02EE" w14:textId="77777777" w:rsidR="00D8048E" w:rsidRDefault="00D8048E" w:rsidP="00BE7F0C">
      <w:r>
        <w:separator/>
      </w:r>
    </w:p>
  </w:endnote>
  <w:endnote w:type="continuationSeparator" w:id="0">
    <w:p w14:paraId="35368345" w14:textId="77777777" w:rsidR="00D8048E" w:rsidRDefault="00D8048E" w:rsidP="00B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AF80" w14:textId="77777777" w:rsidR="00D8048E" w:rsidRDefault="00D8048E" w:rsidP="00BE7F0C">
      <w:r>
        <w:separator/>
      </w:r>
    </w:p>
  </w:footnote>
  <w:footnote w:type="continuationSeparator" w:id="0">
    <w:p w14:paraId="5D6CAF1F" w14:textId="77777777" w:rsidR="00D8048E" w:rsidRDefault="00D8048E" w:rsidP="00BE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0E3" w14:textId="070D73E5" w:rsidR="00BE7F0C" w:rsidRDefault="00BE7F0C" w:rsidP="00BE7F0C">
    <w:pPr>
      <w:pStyle w:val="Intestazione"/>
      <w:jc w:val="center"/>
    </w:pPr>
    <w:r>
      <w:rPr>
        <w:noProof/>
      </w:rPr>
      <w:drawing>
        <wp:inline distT="0" distB="0" distL="0" distR="0" wp14:anchorId="0E2FCF8A" wp14:editId="2A23C959">
          <wp:extent cx="2926080" cy="993775"/>
          <wp:effectExtent l="0" t="0" r="0" b="0"/>
          <wp:docPr id="211259931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99317" name="Immagine 2112599317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BA"/>
    <w:rsid w:val="000F2321"/>
    <w:rsid w:val="001D42DB"/>
    <w:rsid w:val="002C16BA"/>
    <w:rsid w:val="005259A4"/>
    <w:rsid w:val="0057299F"/>
    <w:rsid w:val="00590FA9"/>
    <w:rsid w:val="00592B89"/>
    <w:rsid w:val="00607512"/>
    <w:rsid w:val="00805F67"/>
    <w:rsid w:val="0094080D"/>
    <w:rsid w:val="009D7F60"/>
    <w:rsid w:val="00B665EA"/>
    <w:rsid w:val="00BE7F0C"/>
    <w:rsid w:val="00C91B60"/>
    <w:rsid w:val="00D05847"/>
    <w:rsid w:val="00D8048E"/>
    <w:rsid w:val="00D978BA"/>
    <w:rsid w:val="00DB41B6"/>
    <w:rsid w:val="00EA5BFE"/>
    <w:rsid w:val="00F77C01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D93"/>
  <w15:chartTrackingRefBased/>
  <w15:docId w15:val="{EFB7C155-1C80-45F8-B6C0-CA9D8AC1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F6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16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6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6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6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6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6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6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6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6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6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6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6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6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6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6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C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6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6B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6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6B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C16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6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6B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C16BA"/>
  </w:style>
  <w:style w:type="paragraph" w:customStyle="1" w:styleId="elementtoproof">
    <w:name w:val="elementtoproof"/>
    <w:basedOn w:val="Normale"/>
    <w:uiPriority w:val="99"/>
    <w:semiHidden/>
    <w:rsid w:val="002C16BA"/>
  </w:style>
  <w:style w:type="paragraph" w:styleId="Intestazione">
    <w:name w:val="header"/>
    <w:basedOn w:val="Normale"/>
    <w:link w:val="IntestazioneCarattere"/>
    <w:uiPriority w:val="99"/>
    <w:unhideWhenUsed/>
    <w:rsid w:val="00BE7F0C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F0C"/>
  </w:style>
  <w:style w:type="paragraph" w:styleId="Pidipagina">
    <w:name w:val="footer"/>
    <w:basedOn w:val="Normale"/>
    <w:link w:val="PidipaginaCarattere"/>
    <w:uiPriority w:val="99"/>
    <w:unhideWhenUsed/>
    <w:rsid w:val="00BE7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F0C"/>
  </w:style>
  <w:style w:type="character" w:styleId="Collegamentoipertestuale">
    <w:name w:val="Hyperlink"/>
    <w:basedOn w:val="Carpredefinitoparagrafo"/>
    <w:uiPriority w:val="99"/>
    <w:semiHidden/>
    <w:unhideWhenUsed/>
    <w:rsid w:val="005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nazionalecommercialisti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2024-02-07T14:05:00Z</dcterms:created>
  <dcterms:modified xsi:type="dcterms:W3CDTF">2024-02-09T14:59:00Z</dcterms:modified>
</cp:coreProperties>
</file>