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6070" w14:textId="77777777" w:rsidR="00BB3D1D" w:rsidRPr="00D06F3A" w:rsidRDefault="00BB3D1D" w:rsidP="00B46E7F">
      <w:pPr>
        <w:spacing w:after="0" w:line="240" w:lineRule="auto"/>
        <w:rPr>
          <w:rFonts w:ascii="Arial" w:eastAsia="Times New Roman" w:hAnsi="Arial" w:cs="Arial"/>
          <w:b/>
          <w:bCs/>
          <w:sz w:val="24"/>
          <w:szCs w:val="24"/>
        </w:rPr>
      </w:pPr>
    </w:p>
    <w:p w14:paraId="13E64644" w14:textId="77777777" w:rsidR="00F97CC3" w:rsidRDefault="008C5E9C" w:rsidP="00F97CC3">
      <w:pPr>
        <w:pStyle w:val="body1"/>
        <w:jc w:val="center"/>
        <w:rPr>
          <w:rFonts w:ascii="Arial" w:hAnsi="Arial" w:cs="Arial"/>
          <w:b/>
          <w:bCs/>
          <w:sz w:val="24"/>
          <w:szCs w:val="24"/>
          <w:u w:val="single"/>
        </w:rPr>
      </w:pPr>
      <w:r>
        <w:rPr>
          <w:rFonts w:ascii="Arial" w:hAnsi="Arial" w:cs="Arial"/>
          <w:b/>
          <w:bCs/>
          <w:sz w:val="24"/>
          <w:szCs w:val="24"/>
          <w:u w:val="single"/>
        </w:rPr>
        <w:t>COMUNICATO STAMPA</w:t>
      </w:r>
    </w:p>
    <w:p w14:paraId="130320CC" w14:textId="46B47481" w:rsidR="008C5E9C" w:rsidRDefault="008C5E9C" w:rsidP="00F97CC3">
      <w:pPr>
        <w:pStyle w:val="body1"/>
        <w:jc w:val="center"/>
        <w:rPr>
          <w:color w:val="000000"/>
        </w:rPr>
      </w:pPr>
      <w:r>
        <w:rPr>
          <w:rFonts w:ascii="Helvetica" w:eastAsia="Arial Unicode MS" w:hAnsi="Helvetica" w:cs="Times New Roman"/>
          <w:color w:val="000000"/>
          <w:szCs w:val="20"/>
        </w:rPr>
        <w:t> </w:t>
      </w:r>
    </w:p>
    <w:p w14:paraId="0477E2C9" w14:textId="1756643A" w:rsidR="008C5E9C" w:rsidRDefault="008C5E9C" w:rsidP="008C5E9C">
      <w:pPr>
        <w:pStyle w:val="s4"/>
        <w:jc w:val="both"/>
        <w:rPr>
          <w:color w:val="000000"/>
        </w:rPr>
      </w:pPr>
      <w:r>
        <w:rPr>
          <w:rStyle w:val="bumpedfont15"/>
          <w:rFonts w:ascii="Arial" w:hAnsi="Arial" w:cs="Arial"/>
          <w:b/>
          <w:bCs/>
          <w:color w:val="000000"/>
          <w:sz w:val="24"/>
          <w:szCs w:val="24"/>
        </w:rPr>
        <w:t>REVISIONE ENTI LOCALI: COMMERCIALISTI, ORGANO MONOCRATICO SOLO PER I COMUNI SOTTO I 5MILA ABITANTI </w:t>
      </w:r>
    </w:p>
    <w:p w14:paraId="0643EF7F" w14:textId="58EB5C0D" w:rsidR="008C5E9C" w:rsidRDefault="008C5E9C" w:rsidP="008C5E9C">
      <w:pPr>
        <w:pStyle w:val="s4"/>
        <w:jc w:val="both"/>
        <w:rPr>
          <w:color w:val="000000"/>
        </w:rPr>
      </w:pPr>
      <w:r>
        <w:rPr>
          <w:rStyle w:val="bumpedfont15"/>
          <w:rFonts w:ascii="Arial" w:hAnsi="Arial" w:cs="Arial"/>
          <w:b/>
          <w:bCs/>
          <w:color w:val="000000"/>
          <w:sz w:val="24"/>
          <w:szCs w:val="24"/>
        </w:rPr>
        <w:t xml:space="preserve">Il Consiglio nazionale della categoria presenta al Ministero dell’Interno un documento di modifica al Titolo VII del Tuel. Di Russo: “Da noi proposte </w:t>
      </w:r>
      <w:r>
        <w:rPr>
          <w:rFonts w:ascii="Arial" w:hAnsi="Arial" w:cs="Arial"/>
          <w:b/>
          <w:bCs/>
          <w:color w:val="000000"/>
          <w:sz w:val="24"/>
          <w:szCs w:val="24"/>
        </w:rPr>
        <w:t>in grado di soddisfare l’intento dichiarato dal legislatore delegante di favorire la valorizzazione della revisione economico-finanziaria”. Chiesti anche limiti minimi al compenso  </w:t>
      </w:r>
    </w:p>
    <w:p w14:paraId="774790A2" w14:textId="77777777" w:rsidR="008C5E9C" w:rsidRDefault="008C5E9C" w:rsidP="008C5E9C">
      <w:pPr>
        <w:pStyle w:val="s4"/>
        <w:jc w:val="both"/>
        <w:rPr>
          <w:color w:val="000000"/>
        </w:rPr>
      </w:pPr>
      <w:r>
        <w:rPr>
          <w:rFonts w:ascii="Arial" w:hAnsi="Arial" w:cs="Arial"/>
          <w:color w:val="000000"/>
          <w:sz w:val="24"/>
          <w:szCs w:val="24"/>
        </w:rPr>
        <w:t>   </w:t>
      </w:r>
    </w:p>
    <w:p w14:paraId="7A9AD1C4" w14:textId="77777777" w:rsidR="008C5E9C" w:rsidRDefault="008C5E9C" w:rsidP="008C5E9C">
      <w:pPr>
        <w:pStyle w:val="standard"/>
        <w:jc w:val="both"/>
        <w:rPr>
          <w:rFonts w:ascii="Arial" w:hAnsi="Arial" w:cs="Arial"/>
          <w:color w:val="000000"/>
          <w:sz w:val="24"/>
          <w:szCs w:val="24"/>
        </w:rPr>
      </w:pPr>
      <w:r>
        <w:rPr>
          <w:rStyle w:val="s8"/>
          <w:rFonts w:ascii="Arial" w:hAnsi="Arial" w:cs="Arial"/>
          <w:i/>
          <w:iCs/>
          <w:color w:val="000000"/>
          <w:sz w:val="24"/>
          <w:szCs w:val="24"/>
        </w:rPr>
        <w:t>Roma, 8 novembre 2021</w:t>
      </w:r>
      <w:r>
        <w:rPr>
          <w:rStyle w:val="s9"/>
          <w:rFonts w:ascii="Arial" w:hAnsi="Arial" w:cs="Arial"/>
          <w:color w:val="000000"/>
          <w:sz w:val="24"/>
          <w:szCs w:val="24"/>
        </w:rPr>
        <w:t xml:space="preserve"> – </w:t>
      </w:r>
      <w:r>
        <w:rPr>
          <w:rFonts w:ascii="Arial" w:hAnsi="Arial" w:cs="Arial"/>
          <w:color w:val="000000"/>
          <w:sz w:val="24"/>
          <w:szCs w:val="24"/>
        </w:rPr>
        <w:t>Circoscrivere il perimetro dell’</w:t>
      </w:r>
      <w:r>
        <w:rPr>
          <w:rFonts w:ascii="Arial" w:hAnsi="Arial" w:cs="Arial"/>
          <w:b/>
          <w:bCs/>
          <w:color w:val="000000"/>
          <w:sz w:val="24"/>
          <w:szCs w:val="24"/>
        </w:rPr>
        <w:t xml:space="preserve">organo monocratico </w:t>
      </w:r>
      <w:r>
        <w:rPr>
          <w:rFonts w:ascii="Arial" w:hAnsi="Arial" w:cs="Arial"/>
          <w:color w:val="000000"/>
          <w:sz w:val="24"/>
          <w:szCs w:val="24"/>
        </w:rPr>
        <w:t xml:space="preserve">ai soli Comuni </w:t>
      </w:r>
      <w:r>
        <w:rPr>
          <w:rFonts w:ascii="Arial" w:hAnsi="Arial" w:cs="Arial"/>
          <w:b/>
          <w:bCs/>
          <w:color w:val="000000"/>
          <w:sz w:val="24"/>
          <w:szCs w:val="24"/>
        </w:rPr>
        <w:t>al di sotto dei 5mila abitanti</w:t>
      </w:r>
      <w:r>
        <w:rPr>
          <w:rFonts w:ascii="Arial" w:hAnsi="Arial" w:cs="Arial"/>
          <w:color w:val="000000"/>
          <w:sz w:val="24"/>
          <w:szCs w:val="24"/>
        </w:rPr>
        <w:t xml:space="preserve"> (oggi la soglia è 15mila) e prevedere </w:t>
      </w:r>
      <w:r>
        <w:rPr>
          <w:rFonts w:ascii="Arial" w:hAnsi="Arial" w:cs="Arial"/>
          <w:b/>
          <w:bCs/>
          <w:color w:val="000000"/>
          <w:sz w:val="24"/>
          <w:szCs w:val="24"/>
        </w:rPr>
        <w:t xml:space="preserve">l’organo collegiale </w:t>
      </w:r>
      <w:r>
        <w:rPr>
          <w:rFonts w:ascii="Arial" w:hAnsi="Arial" w:cs="Arial"/>
          <w:color w:val="000000"/>
          <w:sz w:val="24"/>
          <w:szCs w:val="24"/>
        </w:rPr>
        <w:t xml:space="preserve">per tutte le </w:t>
      </w:r>
      <w:r>
        <w:rPr>
          <w:rFonts w:ascii="Arial" w:hAnsi="Arial" w:cs="Arial"/>
          <w:b/>
          <w:bCs/>
          <w:color w:val="000000"/>
          <w:sz w:val="24"/>
          <w:szCs w:val="24"/>
        </w:rPr>
        <w:t>unioni di Comuni</w:t>
      </w:r>
      <w:r>
        <w:rPr>
          <w:rFonts w:ascii="Arial" w:hAnsi="Arial" w:cs="Arial"/>
          <w:color w:val="000000"/>
          <w:sz w:val="24"/>
          <w:szCs w:val="24"/>
        </w:rPr>
        <w:t xml:space="preserve"> (e non solo, come è attualmente, per quelle che esercitano in forma associata tutte le funzioni fondamentali dei comuni che ne fanno parte).</w:t>
      </w:r>
    </w:p>
    <w:p w14:paraId="705D9A7E" w14:textId="77777777" w:rsidR="008C5E9C" w:rsidRDefault="008C5E9C" w:rsidP="008C5E9C">
      <w:pPr>
        <w:pStyle w:val="standard"/>
        <w:jc w:val="both"/>
        <w:rPr>
          <w:rFonts w:ascii="Arial" w:hAnsi="Arial" w:cs="Arial"/>
          <w:color w:val="000000"/>
          <w:sz w:val="24"/>
          <w:szCs w:val="24"/>
        </w:rPr>
      </w:pPr>
    </w:p>
    <w:p w14:paraId="0F848B38" w14:textId="3EF24C15" w:rsidR="008C5E9C" w:rsidRDefault="008C5E9C" w:rsidP="008C5E9C">
      <w:pPr>
        <w:pStyle w:val="standard"/>
        <w:jc w:val="both"/>
        <w:rPr>
          <w:color w:val="000000"/>
        </w:rPr>
      </w:pPr>
      <w:r>
        <w:rPr>
          <w:rFonts w:ascii="Arial" w:hAnsi="Arial" w:cs="Arial"/>
          <w:color w:val="000000"/>
          <w:sz w:val="24"/>
          <w:szCs w:val="24"/>
        </w:rPr>
        <w:t xml:space="preserve">Sono alcune delle </w:t>
      </w:r>
      <w:r>
        <w:rPr>
          <w:rStyle w:val="s9"/>
          <w:rFonts w:ascii="Arial" w:hAnsi="Arial" w:cs="Arial"/>
          <w:color w:val="000000"/>
          <w:sz w:val="24"/>
          <w:szCs w:val="24"/>
        </w:rPr>
        <w:t xml:space="preserve">proposte di modifica al </w:t>
      </w:r>
      <w:r>
        <w:rPr>
          <w:rStyle w:val="s9"/>
          <w:rFonts w:ascii="Arial" w:hAnsi="Arial" w:cs="Arial"/>
          <w:b/>
          <w:bCs/>
          <w:color w:val="000000"/>
          <w:sz w:val="24"/>
          <w:szCs w:val="24"/>
        </w:rPr>
        <w:t>Titolo VII del Testo unico degli enti locali</w:t>
      </w:r>
      <w:r>
        <w:rPr>
          <w:rStyle w:val="s9"/>
          <w:rFonts w:ascii="Arial" w:hAnsi="Arial" w:cs="Arial"/>
          <w:color w:val="000000"/>
          <w:sz w:val="24"/>
          <w:szCs w:val="24"/>
        </w:rPr>
        <w:t xml:space="preserve"> contenute in un documento inviato al Ministero dell’Interno dal Consiglio nazionale dei </w:t>
      </w:r>
      <w:r>
        <w:rPr>
          <w:rStyle w:val="s9"/>
          <w:rFonts w:ascii="Arial" w:hAnsi="Arial" w:cs="Arial"/>
          <w:b/>
          <w:bCs/>
          <w:color w:val="000000"/>
          <w:sz w:val="24"/>
          <w:szCs w:val="24"/>
        </w:rPr>
        <w:t>dottori commercialisti e degli esperti contabili</w:t>
      </w:r>
      <w:r>
        <w:rPr>
          <w:rStyle w:val="s9"/>
          <w:rFonts w:ascii="Arial" w:hAnsi="Arial" w:cs="Arial"/>
          <w:color w:val="000000"/>
          <w:sz w:val="24"/>
          <w:szCs w:val="24"/>
        </w:rPr>
        <w:t xml:space="preserve">. </w:t>
      </w:r>
      <w:r>
        <w:rPr>
          <w:rFonts w:ascii="Arial" w:hAnsi="Arial" w:cs="Arial"/>
          <w:color w:val="000000"/>
          <w:sz w:val="24"/>
          <w:szCs w:val="24"/>
        </w:rPr>
        <w:t>La categoria propone anche di intervenire sull’</w:t>
      </w:r>
      <w:r>
        <w:rPr>
          <w:rFonts w:ascii="Arial" w:hAnsi="Arial" w:cs="Arial"/>
          <w:b/>
          <w:bCs/>
          <w:color w:val="000000"/>
          <w:sz w:val="24"/>
          <w:szCs w:val="24"/>
        </w:rPr>
        <w:t>art. 241</w:t>
      </w:r>
      <w:r>
        <w:rPr>
          <w:rFonts w:ascii="Arial" w:hAnsi="Arial" w:cs="Arial"/>
          <w:color w:val="000000"/>
          <w:sz w:val="24"/>
          <w:szCs w:val="24"/>
        </w:rPr>
        <w:t xml:space="preserve">, in modo che questo imponga anche i </w:t>
      </w:r>
      <w:r>
        <w:rPr>
          <w:rFonts w:ascii="Arial" w:hAnsi="Arial" w:cs="Arial"/>
          <w:b/>
          <w:bCs/>
          <w:color w:val="000000"/>
          <w:sz w:val="24"/>
          <w:szCs w:val="24"/>
        </w:rPr>
        <w:t>limiti minimi al compenso</w:t>
      </w:r>
      <w:r>
        <w:rPr>
          <w:rFonts w:ascii="Arial" w:hAnsi="Arial" w:cs="Arial"/>
          <w:color w:val="000000"/>
          <w:sz w:val="24"/>
          <w:szCs w:val="24"/>
        </w:rPr>
        <w:t xml:space="preserve">, e precisi che questi non possono essere minori al tetto della fascia dimensionale immediatamente inferiore a quella in cui rientra l’ente. Nello stesso senso, i commercialisti propongono anche di ancorare il </w:t>
      </w:r>
      <w:r>
        <w:rPr>
          <w:rFonts w:ascii="Arial" w:hAnsi="Arial" w:cs="Arial"/>
          <w:b/>
          <w:bCs/>
          <w:iCs/>
          <w:color w:val="000000"/>
          <w:sz w:val="24"/>
          <w:szCs w:val="24"/>
        </w:rPr>
        <w:t>rimborso delle spese di viaggio</w:t>
      </w:r>
      <w:r>
        <w:rPr>
          <w:rFonts w:ascii="Arial" w:hAnsi="Arial" w:cs="Arial"/>
          <w:iCs/>
          <w:color w:val="000000"/>
          <w:sz w:val="24"/>
          <w:szCs w:val="24"/>
        </w:rPr>
        <w:t xml:space="preserve"> alla misura fissata dal decreto previsto dall’art. 84 per le trasferte degli amministratori e di prevedere il </w:t>
      </w:r>
      <w:r>
        <w:rPr>
          <w:rFonts w:ascii="Arial" w:hAnsi="Arial" w:cs="Arial"/>
          <w:b/>
          <w:bCs/>
          <w:iCs/>
          <w:color w:val="000000"/>
          <w:sz w:val="24"/>
          <w:szCs w:val="24"/>
        </w:rPr>
        <w:t>rimborso tout court</w:t>
      </w:r>
      <w:r>
        <w:rPr>
          <w:rFonts w:ascii="Arial" w:hAnsi="Arial" w:cs="Arial"/>
          <w:iCs/>
          <w:color w:val="000000"/>
          <w:sz w:val="24"/>
          <w:szCs w:val="24"/>
        </w:rPr>
        <w:t xml:space="preserve"> delle spese di soggiorno effettivamente sostenute per lo svolgimento delle funzioni, senza irragionevoli e aprioristiche limitazioni percentuali. </w:t>
      </w:r>
    </w:p>
    <w:p w14:paraId="6ADD9A44" w14:textId="77777777" w:rsidR="008C5E9C" w:rsidRDefault="008C5E9C" w:rsidP="008C5E9C">
      <w:pPr>
        <w:pStyle w:val="standard"/>
        <w:jc w:val="both"/>
        <w:rPr>
          <w:color w:val="000000"/>
        </w:rPr>
      </w:pPr>
      <w:r>
        <w:rPr>
          <w:rFonts w:ascii="Arial" w:hAnsi="Arial" w:cs="Arial"/>
          <w:iCs/>
          <w:color w:val="000000"/>
          <w:sz w:val="24"/>
          <w:szCs w:val="24"/>
        </w:rPr>
        <w:t> </w:t>
      </w:r>
    </w:p>
    <w:p w14:paraId="52740203" w14:textId="5F33CC53" w:rsidR="008C5E9C" w:rsidRDefault="008C5E9C" w:rsidP="008C5E9C">
      <w:pPr>
        <w:pStyle w:val="standard"/>
        <w:jc w:val="both"/>
        <w:rPr>
          <w:color w:val="000000"/>
        </w:rPr>
      </w:pPr>
      <w:r>
        <w:rPr>
          <w:rFonts w:ascii="Arial" w:hAnsi="Arial" w:cs="Arial"/>
          <w:iCs/>
          <w:color w:val="000000"/>
          <w:sz w:val="24"/>
          <w:szCs w:val="24"/>
        </w:rPr>
        <w:t>“</w:t>
      </w:r>
      <w:r>
        <w:rPr>
          <w:rFonts w:ascii="Arial" w:hAnsi="Arial" w:cs="Arial"/>
          <w:color w:val="000000"/>
          <w:sz w:val="24"/>
          <w:szCs w:val="24"/>
        </w:rPr>
        <w:t xml:space="preserve">Il documento presentato al Ministero - </w:t>
      </w:r>
      <w:r>
        <w:rPr>
          <w:rFonts w:ascii="Arial" w:hAnsi="Arial" w:cs="Arial"/>
          <w:bCs/>
          <w:noProof/>
          <w:color w:val="000000"/>
          <w:sz w:val="24"/>
          <w:szCs w:val="24"/>
        </w:rPr>
        <w:t xml:space="preserve">spiega </w:t>
      </w:r>
      <w:r>
        <w:rPr>
          <w:rFonts w:ascii="Arial" w:hAnsi="Arial" w:cs="Arial"/>
          <w:b/>
          <w:bCs/>
          <w:noProof/>
          <w:color w:val="000000"/>
          <w:sz w:val="24"/>
          <w:szCs w:val="24"/>
        </w:rPr>
        <w:t>Davide Di Russo</w:t>
      </w:r>
      <w:r>
        <w:rPr>
          <w:rFonts w:ascii="Arial" w:hAnsi="Arial" w:cs="Arial"/>
          <w:bCs/>
          <w:noProof/>
          <w:color w:val="000000"/>
          <w:sz w:val="24"/>
          <w:szCs w:val="24"/>
        </w:rPr>
        <w:t>, consigliere nazionale delegato agli Enti Locali - </w:t>
      </w:r>
      <w:r>
        <w:rPr>
          <w:rFonts w:ascii="Arial" w:hAnsi="Arial" w:cs="Arial"/>
          <w:color w:val="000000"/>
          <w:sz w:val="24"/>
          <w:szCs w:val="24"/>
        </w:rPr>
        <w:t>racchiude gli interventi che il Consiglio nazionale ritiene siano in grado di soddisfare l’intento, dichiarato dal legislatore, di favorire la “</w:t>
      </w:r>
      <w:r>
        <w:rPr>
          <w:rFonts w:ascii="Arial" w:hAnsi="Arial" w:cs="Arial"/>
          <w:b/>
          <w:bCs/>
          <w:color w:val="000000"/>
          <w:sz w:val="24"/>
          <w:szCs w:val="24"/>
        </w:rPr>
        <w:t>valorizzazione della revisione economico-finanziaria</w:t>
      </w:r>
      <w:r>
        <w:rPr>
          <w:rFonts w:ascii="Arial" w:hAnsi="Arial" w:cs="Arial"/>
          <w:color w:val="000000"/>
          <w:sz w:val="24"/>
          <w:szCs w:val="24"/>
        </w:rPr>
        <w:t>”. </w:t>
      </w:r>
    </w:p>
    <w:p w14:paraId="477E08BA" w14:textId="77777777" w:rsidR="008C5E9C" w:rsidRDefault="008C5E9C" w:rsidP="008C5E9C">
      <w:pPr>
        <w:pStyle w:val="standard"/>
        <w:jc w:val="both"/>
        <w:rPr>
          <w:color w:val="000000"/>
        </w:rPr>
      </w:pPr>
      <w:r>
        <w:rPr>
          <w:rFonts w:ascii="Arial" w:hAnsi="Arial" w:cs="Arial"/>
          <w:color w:val="000000"/>
          <w:sz w:val="24"/>
          <w:szCs w:val="24"/>
        </w:rPr>
        <w:t> </w:t>
      </w:r>
    </w:p>
    <w:p w14:paraId="4921A707" w14:textId="61327127" w:rsidR="008C5E9C" w:rsidRDefault="008C5E9C" w:rsidP="008C5E9C">
      <w:pPr>
        <w:pStyle w:val="standard"/>
        <w:jc w:val="both"/>
        <w:rPr>
          <w:color w:val="000000"/>
        </w:rPr>
      </w:pPr>
      <w:r>
        <w:rPr>
          <w:rFonts w:ascii="Arial" w:hAnsi="Arial" w:cs="Arial"/>
          <w:bCs/>
          <w:noProof/>
          <w:color w:val="000000"/>
          <w:sz w:val="24"/>
          <w:szCs w:val="24"/>
        </w:rPr>
        <w:t xml:space="preserve">“Le nostre proposte - prosegue Di Russo - sono infatti calibrate sulla bozza, circolata nei giorni scorsi, dello </w:t>
      </w:r>
      <w:r>
        <w:rPr>
          <w:rFonts w:ascii="Arial" w:hAnsi="Arial" w:cs="Arial"/>
          <w:b/>
          <w:bCs/>
          <w:color w:val="000000"/>
          <w:sz w:val="24"/>
          <w:szCs w:val="24"/>
        </w:rPr>
        <w:t>schema di legge-delega al Governo per la riforma del Testo unico</w:t>
      </w:r>
      <w:r>
        <w:rPr>
          <w:rFonts w:ascii="Arial" w:hAnsi="Arial" w:cs="Arial"/>
          <w:color w:val="000000"/>
          <w:sz w:val="24"/>
          <w:szCs w:val="24"/>
        </w:rPr>
        <w:t xml:space="preserve">, che dedica l’intero </w:t>
      </w:r>
      <w:r>
        <w:rPr>
          <w:rFonts w:ascii="Arial" w:hAnsi="Arial" w:cs="Arial"/>
          <w:b/>
          <w:bCs/>
          <w:color w:val="000000"/>
          <w:sz w:val="24"/>
          <w:szCs w:val="24"/>
        </w:rPr>
        <w:t>articolo 5</w:t>
      </w:r>
      <w:r>
        <w:rPr>
          <w:rFonts w:ascii="Arial" w:hAnsi="Arial" w:cs="Arial"/>
          <w:color w:val="000000"/>
          <w:sz w:val="24"/>
          <w:szCs w:val="24"/>
        </w:rPr>
        <w:t xml:space="preserve"> alle modifiche alla disciplina delle funzioni di revisione economico-finanziaria e risanamento degli enti locali. In questa stagione, segnata da grandi riforme, non potevamo lasciarci sfuggire l’occasione, come commercialisti, di sottoporre al legislatore delegato gli interventi che riteniamo in grado di migliorare nel complesso l’istituzione del revisore e l’esercizio della funzione”. </w:t>
      </w:r>
    </w:p>
    <w:p w14:paraId="2B11A11E" w14:textId="77777777" w:rsidR="008C5E9C" w:rsidRDefault="008C5E9C" w:rsidP="008C5E9C">
      <w:pPr>
        <w:pStyle w:val="standard"/>
        <w:jc w:val="both"/>
        <w:rPr>
          <w:color w:val="000000"/>
        </w:rPr>
      </w:pPr>
      <w:r>
        <w:rPr>
          <w:rFonts w:ascii="Arial" w:hAnsi="Arial" w:cs="Arial"/>
          <w:color w:val="000000"/>
          <w:sz w:val="24"/>
          <w:szCs w:val="24"/>
        </w:rPr>
        <w:t> </w:t>
      </w:r>
    </w:p>
    <w:p w14:paraId="5E5ED31D" w14:textId="02D20803" w:rsidR="008C5E9C" w:rsidRDefault="008C5E9C" w:rsidP="008C5E9C">
      <w:pPr>
        <w:pStyle w:val="standard"/>
        <w:jc w:val="both"/>
        <w:rPr>
          <w:color w:val="000000"/>
        </w:rPr>
      </w:pPr>
      <w:r>
        <w:rPr>
          <w:rFonts w:ascii="Arial" w:hAnsi="Arial" w:cs="Arial"/>
          <w:color w:val="000000"/>
          <w:sz w:val="24"/>
          <w:szCs w:val="24"/>
        </w:rPr>
        <w:t xml:space="preserve">“Il disegno di legge - prosegue Davide Di Russo - sembra davvero andare nella direzione da tempo indicata dai commercialisti, tant’è che la delega già manda al Governo di </w:t>
      </w:r>
      <w:r>
        <w:rPr>
          <w:rFonts w:ascii="Arial" w:hAnsi="Arial" w:cs="Arial"/>
          <w:b/>
          <w:bCs/>
          <w:color w:val="000000"/>
          <w:sz w:val="24"/>
          <w:szCs w:val="24"/>
        </w:rPr>
        <w:t>limitare il divieto di più di due incarichi nello stesso ente</w:t>
      </w:r>
      <w:r>
        <w:rPr>
          <w:rFonts w:ascii="Arial" w:hAnsi="Arial" w:cs="Arial"/>
          <w:color w:val="000000"/>
          <w:sz w:val="24"/>
          <w:szCs w:val="24"/>
        </w:rPr>
        <w:t xml:space="preserve">, previsto ex art. 235,  al solo al caso di incarichi consecutivi, e dimostra la disponibilità del legislatore, considerata l’ampiezza della delega, ad apportare tutti quei correttivi che il Consiglio nazionale ha, nel corso degli ultimi </w:t>
      </w:r>
      <w:r>
        <w:rPr>
          <w:rFonts w:ascii="Arial" w:hAnsi="Arial" w:cs="Arial"/>
          <w:color w:val="000000"/>
          <w:sz w:val="24"/>
          <w:szCs w:val="24"/>
        </w:rPr>
        <w:lastRenderedPageBreak/>
        <w:t>anni, elaborato anche attraverso un continuo dialogo istituzionale con gli interlocutori ministeriali, i rappresentanti degli enti locali e la Corte dei conti”. </w:t>
      </w:r>
    </w:p>
    <w:p w14:paraId="76D5E9DB" w14:textId="77777777" w:rsidR="008C5E9C" w:rsidRDefault="008C5E9C" w:rsidP="008C5E9C">
      <w:pPr>
        <w:pStyle w:val="standard"/>
        <w:jc w:val="both"/>
        <w:rPr>
          <w:color w:val="000000"/>
        </w:rPr>
      </w:pPr>
      <w:r>
        <w:rPr>
          <w:rFonts w:ascii="Arial" w:hAnsi="Arial" w:cs="Arial"/>
          <w:color w:val="000000"/>
          <w:sz w:val="24"/>
          <w:szCs w:val="24"/>
        </w:rPr>
        <w:t> </w:t>
      </w:r>
    </w:p>
    <w:p w14:paraId="07796D19" w14:textId="671A0B29" w:rsidR="008C5E9C" w:rsidRDefault="008C5E9C" w:rsidP="008C5E9C">
      <w:pPr>
        <w:pStyle w:val="standard"/>
        <w:jc w:val="both"/>
        <w:rPr>
          <w:color w:val="000000"/>
        </w:rPr>
      </w:pPr>
      <w:r>
        <w:rPr>
          <w:rFonts w:ascii="Arial" w:hAnsi="Arial" w:cs="Arial"/>
          <w:color w:val="000000"/>
          <w:sz w:val="24"/>
          <w:szCs w:val="24"/>
        </w:rPr>
        <w:t xml:space="preserve">“Proprio perché frutto di un costante confronto dialettico con le istituzioni e di un accurato lavoro di limatura, siamo </w:t>
      </w:r>
      <w:r>
        <w:rPr>
          <w:rFonts w:ascii="Arial" w:hAnsi="Arial" w:cs="Arial"/>
          <w:b/>
          <w:bCs/>
          <w:color w:val="000000"/>
          <w:sz w:val="24"/>
          <w:szCs w:val="24"/>
        </w:rPr>
        <w:t>fiduciosi</w:t>
      </w:r>
      <w:r>
        <w:rPr>
          <w:rFonts w:ascii="Arial" w:hAnsi="Arial" w:cs="Arial"/>
          <w:color w:val="000000"/>
          <w:sz w:val="24"/>
          <w:szCs w:val="24"/>
        </w:rPr>
        <w:t xml:space="preserve"> - conclude Di Russo - che le proposte del Consiglio nazionale, appositamente riformulate proprio per poter essere recepite nel futuro decreto delegato, potranno </w:t>
      </w:r>
      <w:r>
        <w:rPr>
          <w:rFonts w:ascii="Arial" w:hAnsi="Arial" w:cs="Arial"/>
          <w:b/>
          <w:bCs/>
          <w:color w:val="000000"/>
          <w:sz w:val="24"/>
          <w:szCs w:val="24"/>
        </w:rPr>
        <w:t>trovare accoglimento</w:t>
      </w:r>
      <w:r>
        <w:rPr>
          <w:rFonts w:ascii="Arial" w:hAnsi="Arial" w:cs="Arial"/>
          <w:color w:val="000000"/>
          <w:sz w:val="24"/>
          <w:szCs w:val="24"/>
        </w:rPr>
        <w:t xml:space="preserve"> da parte del Governo”. </w:t>
      </w:r>
    </w:p>
    <w:p w14:paraId="0195E16D" w14:textId="77777777" w:rsidR="009258D3" w:rsidRPr="00995BD0" w:rsidRDefault="009258D3" w:rsidP="00BA26B7">
      <w:pPr>
        <w:shd w:val="clear" w:color="auto" w:fill="FFFFFF"/>
        <w:spacing w:after="0" w:line="240" w:lineRule="auto"/>
        <w:jc w:val="center"/>
        <w:rPr>
          <w:rFonts w:ascii="Arial" w:hAnsi="Arial" w:cs="Arial"/>
          <w:color w:val="4472C4" w:themeColor="accent1"/>
          <w:sz w:val="24"/>
          <w:szCs w:val="24"/>
        </w:rPr>
      </w:pPr>
    </w:p>
    <w:sectPr w:rsidR="009258D3" w:rsidRPr="00995BD0">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A8B4" w14:textId="77777777" w:rsidR="005A5892" w:rsidRDefault="005A5892" w:rsidP="00C244F9">
      <w:pPr>
        <w:spacing w:after="0" w:line="240" w:lineRule="auto"/>
      </w:pPr>
      <w:r>
        <w:separator/>
      </w:r>
    </w:p>
  </w:endnote>
  <w:endnote w:type="continuationSeparator" w:id="0">
    <w:p w14:paraId="696CC845" w14:textId="77777777" w:rsidR="005A5892" w:rsidRDefault="005A5892"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1C49" w14:textId="365AFDBA" w:rsidR="00BA26B7" w:rsidRDefault="00BA26B7">
    <w:pPr>
      <w:pStyle w:val="Pidipagina"/>
    </w:pPr>
    <w:r>
      <w:t>Mauro Parracino</w:t>
    </w:r>
  </w:p>
  <w:p w14:paraId="5BC49166" w14:textId="79201F31" w:rsidR="00BA26B7" w:rsidRDefault="00BA26B7">
    <w:pPr>
      <w:pStyle w:val="Pidipagina"/>
    </w:pPr>
    <w:r>
      <w:t>Ufficio stampa Consiglio nazionale dottori commercialisti ed esperti contabili</w:t>
    </w:r>
  </w:p>
  <w:p w14:paraId="66DD3FAE" w14:textId="4DDCB323" w:rsidR="00BA26B7" w:rsidRDefault="00BA26B7">
    <w:pPr>
      <w:pStyle w:val="Pidipagina"/>
    </w:pPr>
    <w:r>
      <w:t>334.3837514</w:t>
    </w:r>
  </w:p>
  <w:p w14:paraId="60599FDF" w14:textId="3261A3FF" w:rsidR="00BA26B7" w:rsidRDefault="00BA26B7">
    <w:pPr>
      <w:pStyle w:val="Pidipagina"/>
    </w:pPr>
    <w:r>
      <w:t>stampa</w:t>
    </w:r>
    <w:r w:rsidRPr="00BA26B7">
      <w:t>@commercialisti.it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60F1" w14:textId="77777777" w:rsidR="005A5892" w:rsidRDefault="005A5892" w:rsidP="00C244F9">
      <w:pPr>
        <w:spacing w:after="0" w:line="240" w:lineRule="auto"/>
      </w:pPr>
      <w:r>
        <w:separator/>
      </w:r>
    </w:p>
  </w:footnote>
  <w:footnote w:type="continuationSeparator" w:id="0">
    <w:p w14:paraId="0EE4FFA7" w14:textId="77777777" w:rsidR="005A5892" w:rsidRDefault="005A5892"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48486D0" w:rsidR="008C37D4" w:rsidRPr="002B78A5" w:rsidRDefault="008C37D4" w:rsidP="00C244F9">
    <w:pPr>
      <w:pStyle w:val="Intestazione"/>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12B13"/>
    <w:rsid w:val="000B1BD1"/>
    <w:rsid w:val="000B235F"/>
    <w:rsid w:val="000B3806"/>
    <w:rsid w:val="000D60C6"/>
    <w:rsid w:val="000F22F1"/>
    <w:rsid w:val="00137250"/>
    <w:rsid w:val="00144BD8"/>
    <w:rsid w:val="001F4178"/>
    <w:rsid w:val="002323D1"/>
    <w:rsid w:val="00242263"/>
    <w:rsid w:val="00244B19"/>
    <w:rsid w:val="0029157E"/>
    <w:rsid w:val="002A0F5E"/>
    <w:rsid w:val="002B78A5"/>
    <w:rsid w:val="002C41B2"/>
    <w:rsid w:val="002E78F8"/>
    <w:rsid w:val="0031138F"/>
    <w:rsid w:val="003773A3"/>
    <w:rsid w:val="003935EA"/>
    <w:rsid w:val="003C2E00"/>
    <w:rsid w:val="003E3FF8"/>
    <w:rsid w:val="00410906"/>
    <w:rsid w:val="0048020E"/>
    <w:rsid w:val="004926C9"/>
    <w:rsid w:val="004B496D"/>
    <w:rsid w:val="00502804"/>
    <w:rsid w:val="00517AC7"/>
    <w:rsid w:val="00542E37"/>
    <w:rsid w:val="005A5892"/>
    <w:rsid w:val="00605191"/>
    <w:rsid w:val="00656D74"/>
    <w:rsid w:val="00661C72"/>
    <w:rsid w:val="0066467C"/>
    <w:rsid w:val="00697696"/>
    <w:rsid w:val="006C52E6"/>
    <w:rsid w:val="006F4EC2"/>
    <w:rsid w:val="0077380E"/>
    <w:rsid w:val="007F6B4A"/>
    <w:rsid w:val="0081049B"/>
    <w:rsid w:val="00813B39"/>
    <w:rsid w:val="008C37D4"/>
    <w:rsid w:val="008C5E9C"/>
    <w:rsid w:val="009258D3"/>
    <w:rsid w:val="00995BD0"/>
    <w:rsid w:val="009C53C6"/>
    <w:rsid w:val="009F4D75"/>
    <w:rsid w:val="00A50464"/>
    <w:rsid w:val="00A604B1"/>
    <w:rsid w:val="00A866E4"/>
    <w:rsid w:val="00B36548"/>
    <w:rsid w:val="00B46E7F"/>
    <w:rsid w:val="00B73BD6"/>
    <w:rsid w:val="00B84783"/>
    <w:rsid w:val="00BA26B7"/>
    <w:rsid w:val="00BB3D1D"/>
    <w:rsid w:val="00C1145E"/>
    <w:rsid w:val="00C145A7"/>
    <w:rsid w:val="00C244F9"/>
    <w:rsid w:val="00C5097D"/>
    <w:rsid w:val="00CA5E3D"/>
    <w:rsid w:val="00CB3A35"/>
    <w:rsid w:val="00CC0F26"/>
    <w:rsid w:val="00D06F3A"/>
    <w:rsid w:val="00D64987"/>
    <w:rsid w:val="00D96F9E"/>
    <w:rsid w:val="00DD1BB9"/>
    <w:rsid w:val="00DF6872"/>
    <w:rsid w:val="00E00966"/>
    <w:rsid w:val="00E451D0"/>
    <w:rsid w:val="00E47BE0"/>
    <w:rsid w:val="00E50272"/>
    <w:rsid w:val="00E507D0"/>
    <w:rsid w:val="00EC2930"/>
    <w:rsid w:val="00F04783"/>
    <w:rsid w:val="00F362C1"/>
    <w:rsid w:val="00F60683"/>
    <w:rsid w:val="00F6642C"/>
    <w:rsid w:val="00F6755D"/>
    <w:rsid w:val="00F97C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0683"/>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pPr>
      <w:spacing w:after="0" w:line="240" w:lineRule="auto"/>
    </w:pPr>
    <w:rPr>
      <w:rFonts w:ascii="Calibri" w:hAnsi="Calibri" w:cs="Calibri"/>
      <w:lang w:eastAsia="it-IT"/>
    </w:rPr>
  </w:style>
  <w:style w:type="paragraph" w:customStyle="1" w:styleId="xmsonormal">
    <w:name w:val="x_msonormal"/>
    <w:basedOn w:val="Normale"/>
    <w:rsid w:val="008104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4987"/>
    <w:rPr>
      <w:b/>
      <w:bCs/>
    </w:rPr>
  </w:style>
  <w:style w:type="paragraph" w:customStyle="1" w:styleId="Default">
    <w:name w:val="Default"/>
    <w:rsid w:val="009258D3"/>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body1">
    <w:name w:val="body1"/>
    <w:basedOn w:val="Normale"/>
    <w:rsid w:val="008C5E9C"/>
    <w:pPr>
      <w:spacing w:after="0" w:line="240" w:lineRule="auto"/>
    </w:pPr>
    <w:rPr>
      <w:rFonts w:ascii="Calibri" w:hAnsi="Calibri" w:cs="Calibri"/>
      <w:lang w:eastAsia="it-IT"/>
    </w:rPr>
  </w:style>
  <w:style w:type="paragraph" w:customStyle="1" w:styleId="s4">
    <w:name w:val="s4"/>
    <w:basedOn w:val="Normale"/>
    <w:rsid w:val="008C5E9C"/>
    <w:pPr>
      <w:spacing w:after="0" w:line="240" w:lineRule="auto"/>
    </w:pPr>
    <w:rPr>
      <w:rFonts w:ascii="Calibri" w:hAnsi="Calibri" w:cs="Calibri"/>
      <w:lang w:eastAsia="it-IT"/>
    </w:rPr>
  </w:style>
  <w:style w:type="paragraph" w:customStyle="1" w:styleId="standard">
    <w:name w:val="standard"/>
    <w:basedOn w:val="Normale"/>
    <w:rsid w:val="008C5E9C"/>
    <w:pPr>
      <w:spacing w:after="0" w:line="240" w:lineRule="auto"/>
    </w:pPr>
    <w:rPr>
      <w:rFonts w:ascii="Calibri" w:hAnsi="Calibri" w:cs="Calibri"/>
      <w:lang w:eastAsia="it-IT"/>
    </w:rPr>
  </w:style>
  <w:style w:type="character" w:customStyle="1" w:styleId="bumpedfont15">
    <w:name w:val="bumpedfont15"/>
    <w:basedOn w:val="Carpredefinitoparagrafo"/>
    <w:rsid w:val="008C5E9C"/>
  </w:style>
  <w:style w:type="character" w:customStyle="1" w:styleId="s8">
    <w:name w:val="s8"/>
    <w:basedOn w:val="Carpredefinitoparagrafo"/>
    <w:rsid w:val="008C5E9C"/>
  </w:style>
  <w:style w:type="character" w:customStyle="1" w:styleId="s9">
    <w:name w:val="s9"/>
    <w:basedOn w:val="Carpredefinitoparagrafo"/>
    <w:rsid w:val="008C5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425619551">
      <w:bodyDiv w:val="1"/>
      <w:marLeft w:val="0"/>
      <w:marRight w:val="0"/>
      <w:marTop w:val="0"/>
      <w:marBottom w:val="0"/>
      <w:divBdr>
        <w:top w:val="none" w:sz="0" w:space="0" w:color="auto"/>
        <w:left w:val="none" w:sz="0" w:space="0" w:color="auto"/>
        <w:bottom w:val="none" w:sz="0" w:space="0" w:color="auto"/>
        <w:right w:val="none" w:sz="0" w:space="0" w:color="auto"/>
      </w:divBdr>
    </w:div>
    <w:div w:id="932475719">
      <w:bodyDiv w:val="1"/>
      <w:marLeft w:val="0"/>
      <w:marRight w:val="0"/>
      <w:marTop w:val="0"/>
      <w:marBottom w:val="0"/>
      <w:divBdr>
        <w:top w:val="none" w:sz="0" w:space="0" w:color="auto"/>
        <w:left w:val="none" w:sz="0" w:space="0" w:color="auto"/>
        <w:bottom w:val="none" w:sz="0" w:space="0" w:color="auto"/>
        <w:right w:val="none" w:sz="0" w:space="0" w:color="auto"/>
      </w:divBdr>
    </w:div>
    <w:div w:id="1235046165">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737169805">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5424616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531</Words>
  <Characters>3030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6</cp:revision>
  <cp:lastPrinted>2021-10-05T16:53:00Z</cp:lastPrinted>
  <dcterms:created xsi:type="dcterms:W3CDTF">2021-11-02T11:10:00Z</dcterms:created>
  <dcterms:modified xsi:type="dcterms:W3CDTF">2021-11-08T19:05:00Z</dcterms:modified>
</cp:coreProperties>
</file>