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4A8B6" w14:textId="77777777" w:rsidR="00687D67" w:rsidRDefault="00687D67" w:rsidP="00407826">
      <w:pPr>
        <w:jc w:val="center"/>
        <w:rPr>
          <w:rFonts w:ascii="Arial" w:hAnsi="Arial" w:cs="Arial"/>
          <w:b/>
          <w:bCs/>
          <w:sz w:val="24"/>
          <w:szCs w:val="24"/>
          <w:u w:val="single"/>
        </w:rPr>
      </w:pPr>
    </w:p>
    <w:p w14:paraId="32D90724" w14:textId="77777777" w:rsidR="00A25D50" w:rsidRDefault="00A25D50" w:rsidP="00407826">
      <w:pPr>
        <w:jc w:val="center"/>
        <w:rPr>
          <w:rFonts w:ascii="Arial" w:hAnsi="Arial" w:cs="Arial"/>
          <w:b/>
          <w:bCs/>
          <w:sz w:val="24"/>
          <w:szCs w:val="24"/>
          <w:u w:val="single"/>
        </w:rPr>
      </w:pPr>
      <w:r w:rsidRPr="007E7258">
        <w:rPr>
          <w:rFonts w:ascii="Arial" w:hAnsi="Arial" w:cs="Arial"/>
          <w:b/>
          <w:bCs/>
          <w:sz w:val="24"/>
          <w:szCs w:val="24"/>
          <w:u w:val="single"/>
        </w:rPr>
        <w:t>Comunicato stampa</w:t>
      </w:r>
    </w:p>
    <w:p w14:paraId="4AF3B7D2" w14:textId="77777777" w:rsidR="00FA7C85" w:rsidRPr="00FA7C85" w:rsidRDefault="00FA7C85" w:rsidP="00407826">
      <w:pPr>
        <w:jc w:val="center"/>
        <w:rPr>
          <w:rFonts w:ascii="Arial" w:hAnsi="Arial" w:cs="Arial"/>
          <w:b/>
          <w:bCs/>
          <w:sz w:val="24"/>
          <w:szCs w:val="24"/>
        </w:rPr>
      </w:pPr>
    </w:p>
    <w:p w14:paraId="02DFDD47" w14:textId="61C4C88D" w:rsidR="00FA7C85" w:rsidRDefault="00FA7C85" w:rsidP="00407826">
      <w:pPr>
        <w:jc w:val="center"/>
        <w:rPr>
          <w:rFonts w:ascii="Arial" w:hAnsi="Arial" w:cs="Arial"/>
          <w:b/>
          <w:bCs/>
          <w:sz w:val="24"/>
          <w:szCs w:val="24"/>
        </w:rPr>
      </w:pPr>
      <w:r w:rsidRPr="00FA7C85">
        <w:rPr>
          <w:rFonts w:ascii="Arial" w:hAnsi="Arial" w:cs="Arial"/>
          <w:b/>
          <w:bCs/>
          <w:sz w:val="24"/>
          <w:szCs w:val="24"/>
        </w:rPr>
        <w:t>SOCIET</w:t>
      </w:r>
      <w:r w:rsidR="00BF179D" w:rsidRPr="00BF179D">
        <w:rPr>
          <w:rFonts w:ascii="Arial" w:hAnsi="Arial" w:cs="Arial"/>
          <w:b/>
          <w:bCs/>
          <w:sz w:val="24"/>
          <w:szCs w:val="24"/>
        </w:rPr>
        <w:t xml:space="preserve">À </w:t>
      </w:r>
      <w:r w:rsidRPr="00FA7C85">
        <w:rPr>
          <w:rFonts w:ascii="Arial" w:hAnsi="Arial" w:cs="Arial"/>
          <w:b/>
          <w:bCs/>
          <w:sz w:val="24"/>
          <w:szCs w:val="24"/>
        </w:rPr>
        <w:t>A PARTECIPAZIONE PUBBLICA, LA SCADENZA DELLO STRUMENTO NON AZIONARIO NON PRECLUDE</w:t>
      </w:r>
      <w:r>
        <w:rPr>
          <w:rFonts w:ascii="Arial" w:hAnsi="Arial" w:cs="Arial"/>
          <w:b/>
          <w:bCs/>
          <w:sz w:val="24"/>
          <w:szCs w:val="24"/>
        </w:rPr>
        <w:t xml:space="preserve"> LA CONSERVAZIONE DELLO STATUS DI QUOTATA</w:t>
      </w:r>
    </w:p>
    <w:p w14:paraId="6138B0D3" w14:textId="77777777" w:rsidR="00FA7C85" w:rsidRDefault="00FA7C85" w:rsidP="00407826">
      <w:pPr>
        <w:jc w:val="center"/>
        <w:rPr>
          <w:rFonts w:ascii="Arial" w:hAnsi="Arial" w:cs="Arial"/>
          <w:b/>
          <w:bCs/>
          <w:sz w:val="24"/>
          <w:szCs w:val="24"/>
        </w:rPr>
      </w:pPr>
    </w:p>
    <w:p w14:paraId="56E48C29" w14:textId="5974624B" w:rsidR="00FA7C85" w:rsidRPr="00FA7C85" w:rsidRDefault="00FA7C85" w:rsidP="00C41685">
      <w:pPr>
        <w:jc w:val="both"/>
        <w:rPr>
          <w:rFonts w:ascii="Arial" w:hAnsi="Arial" w:cs="Arial"/>
          <w:b/>
          <w:bCs/>
          <w:sz w:val="24"/>
          <w:szCs w:val="24"/>
        </w:rPr>
      </w:pPr>
      <w:r w:rsidRPr="00FA7C85">
        <w:rPr>
          <w:rFonts w:ascii="Arial" w:hAnsi="Arial" w:cs="Arial"/>
          <w:b/>
          <w:bCs/>
          <w:sz w:val="24"/>
          <w:szCs w:val="24"/>
        </w:rPr>
        <w:t xml:space="preserve">Documento dell’Osservatorio Enti Pubblici e Società partecipate del Consiglio Nazionale dei Commercialisti. “Condizione per il mantenimento dello </w:t>
      </w:r>
      <w:r w:rsidR="00AC794D">
        <w:rPr>
          <w:rFonts w:ascii="Arial" w:hAnsi="Arial" w:cs="Arial"/>
          <w:b/>
          <w:bCs/>
          <w:sz w:val="24"/>
          <w:szCs w:val="24"/>
        </w:rPr>
        <w:t>s</w:t>
      </w:r>
      <w:r w:rsidR="00AC794D" w:rsidRPr="00FA7C85">
        <w:rPr>
          <w:rFonts w:ascii="Arial" w:hAnsi="Arial" w:cs="Arial"/>
          <w:b/>
          <w:bCs/>
          <w:sz w:val="24"/>
          <w:szCs w:val="24"/>
        </w:rPr>
        <w:t xml:space="preserve">tatus </w:t>
      </w:r>
      <w:r w:rsidRPr="00FA7C85">
        <w:rPr>
          <w:rFonts w:ascii="Arial" w:hAnsi="Arial" w:cs="Arial"/>
          <w:b/>
          <w:bCs/>
          <w:sz w:val="24"/>
          <w:szCs w:val="24"/>
        </w:rPr>
        <w:t>è una nuova emissione sui mercati regolamentati che intervenga in sostanziale continuità</w:t>
      </w:r>
      <w:r w:rsidR="00AC794D">
        <w:rPr>
          <w:rFonts w:ascii="Arial" w:hAnsi="Arial" w:cs="Arial"/>
          <w:b/>
          <w:bCs/>
          <w:sz w:val="24"/>
          <w:szCs w:val="24"/>
        </w:rPr>
        <w:t>”</w:t>
      </w:r>
    </w:p>
    <w:p w14:paraId="18E1D4E4" w14:textId="77777777" w:rsidR="00FA7C85" w:rsidRPr="00FA7C85" w:rsidRDefault="00FA7C85" w:rsidP="00407826">
      <w:pPr>
        <w:jc w:val="center"/>
        <w:rPr>
          <w:rFonts w:ascii="Arial" w:hAnsi="Arial" w:cs="Arial"/>
          <w:b/>
          <w:bCs/>
          <w:sz w:val="24"/>
          <w:szCs w:val="24"/>
          <w:u w:val="single"/>
        </w:rPr>
      </w:pPr>
    </w:p>
    <w:p w14:paraId="2AB0FA0F" w14:textId="77419D1C" w:rsidR="00FA7C85" w:rsidRDefault="00FA7C85" w:rsidP="00FA7C85">
      <w:pPr>
        <w:jc w:val="both"/>
        <w:rPr>
          <w:rFonts w:ascii="Arial" w:hAnsi="Arial" w:cs="Arial"/>
        </w:rPr>
      </w:pPr>
      <w:r w:rsidRPr="00FA7C85">
        <w:rPr>
          <w:rFonts w:ascii="Arial" w:hAnsi="Arial" w:cs="Arial"/>
          <w:i/>
          <w:iCs/>
          <w:sz w:val="24"/>
          <w:szCs w:val="24"/>
        </w:rPr>
        <w:t>Roma, 8 novembre 2023 -</w:t>
      </w:r>
      <w:r>
        <w:rPr>
          <w:rFonts w:ascii="Arial" w:hAnsi="Arial" w:cs="Arial"/>
          <w:sz w:val="24"/>
          <w:szCs w:val="24"/>
        </w:rPr>
        <w:t xml:space="preserve"> </w:t>
      </w:r>
      <w:r w:rsidRPr="00EA5FF9">
        <w:rPr>
          <w:rFonts w:ascii="Arial" w:hAnsi="Arial" w:cs="Arial"/>
          <w:sz w:val="24"/>
          <w:szCs w:val="24"/>
        </w:rPr>
        <w:t>“</w:t>
      </w:r>
      <w:r w:rsidRPr="00FA7C85">
        <w:rPr>
          <w:rFonts w:ascii="Arial" w:hAnsi="Arial" w:cs="Arial"/>
          <w:b/>
          <w:bCs/>
        </w:rPr>
        <w:t>Strumenti finanziari quotati diversi dalle azioni ed esenzione dal TUSP</w:t>
      </w:r>
      <w:r w:rsidRPr="00FA7C85">
        <w:rPr>
          <w:rFonts w:ascii="Arial" w:hAnsi="Arial" w:cs="Arial"/>
        </w:rPr>
        <w:t>” è il titolo del documento pubblicato dall’</w:t>
      </w:r>
      <w:r w:rsidRPr="00FA7C85">
        <w:rPr>
          <w:rFonts w:ascii="Arial" w:hAnsi="Arial" w:cs="Arial"/>
          <w:b/>
          <w:bCs/>
        </w:rPr>
        <w:t>Osservatorio Enti Pubblici e Società partecipate</w:t>
      </w:r>
      <w:r w:rsidRPr="00FA7C85">
        <w:rPr>
          <w:rFonts w:ascii="Arial" w:hAnsi="Arial" w:cs="Arial"/>
        </w:rPr>
        <w:t xml:space="preserve"> del Consiglio Nazionale dei Commercialisti </w:t>
      </w:r>
      <w:r w:rsidR="00AC794D">
        <w:rPr>
          <w:rFonts w:ascii="Arial" w:hAnsi="Arial" w:cs="Arial"/>
        </w:rPr>
        <w:t>su</w:t>
      </w:r>
      <w:r w:rsidRPr="00FA7C85">
        <w:rPr>
          <w:rFonts w:ascii="Arial" w:hAnsi="Arial" w:cs="Arial"/>
        </w:rPr>
        <w:t xml:space="preserve">lla sorte delle </w:t>
      </w:r>
      <w:r w:rsidRPr="00FA7C85">
        <w:rPr>
          <w:rFonts w:ascii="Arial" w:hAnsi="Arial" w:cs="Arial"/>
          <w:b/>
          <w:bCs/>
        </w:rPr>
        <w:t xml:space="preserve">società a partecipazione pubblica </w:t>
      </w:r>
      <w:r w:rsidRPr="00FA7C85">
        <w:rPr>
          <w:rFonts w:ascii="Arial" w:hAnsi="Arial" w:cs="Arial"/>
        </w:rPr>
        <w:t xml:space="preserve">che, ai sensi e per gli effetti del </w:t>
      </w:r>
      <w:r w:rsidRPr="00FA7C85">
        <w:rPr>
          <w:rFonts w:ascii="Arial" w:hAnsi="Arial" w:cs="Arial"/>
          <w:b/>
          <w:bCs/>
        </w:rPr>
        <w:t>TUSP</w:t>
      </w:r>
      <w:r w:rsidRPr="00FA7C85">
        <w:rPr>
          <w:rFonts w:ascii="Arial" w:hAnsi="Arial" w:cs="Arial"/>
        </w:rPr>
        <w:t>, sono considerate “</w:t>
      </w:r>
      <w:r w:rsidRPr="00FA7C85">
        <w:rPr>
          <w:rFonts w:ascii="Arial" w:hAnsi="Arial" w:cs="Arial"/>
          <w:b/>
          <w:bCs/>
        </w:rPr>
        <w:t>quotate</w:t>
      </w:r>
      <w:r w:rsidRPr="00FA7C85">
        <w:rPr>
          <w:rFonts w:ascii="Arial" w:hAnsi="Arial" w:cs="Arial"/>
        </w:rPr>
        <w:t xml:space="preserve">” in ragione della quotazione di </w:t>
      </w:r>
      <w:r w:rsidRPr="00FA7C85">
        <w:rPr>
          <w:rFonts w:ascii="Arial" w:hAnsi="Arial" w:cs="Arial"/>
          <w:b/>
          <w:bCs/>
        </w:rPr>
        <w:t>strumenti finanziari diversi dalle azioni</w:t>
      </w:r>
      <w:r w:rsidRPr="00FA7C85">
        <w:rPr>
          <w:rFonts w:ascii="Arial" w:hAnsi="Arial" w:cs="Arial"/>
        </w:rPr>
        <w:t>.</w:t>
      </w:r>
      <w:r w:rsidR="002028C0">
        <w:rPr>
          <w:rFonts w:ascii="Arial" w:hAnsi="Arial" w:cs="Arial"/>
        </w:rPr>
        <w:t xml:space="preserve"> </w:t>
      </w:r>
      <w:r w:rsidRPr="00FA7C85">
        <w:rPr>
          <w:rFonts w:ascii="Arial" w:hAnsi="Arial" w:cs="Arial"/>
        </w:rPr>
        <w:t xml:space="preserve">Stando alla lettera della legge, la riconducibilità di tali società al perimetro delle “società quotate” (e, di riflesso, la loro esenzione dal TUSP stesso, ai sensi del relativo art. 1, co. 5) è chiaramente ancorata al </w:t>
      </w:r>
      <w:r w:rsidRPr="00FA7C85">
        <w:rPr>
          <w:rFonts w:ascii="Arial" w:hAnsi="Arial" w:cs="Arial"/>
          <w:b/>
          <w:bCs/>
        </w:rPr>
        <w:t>perfezionamento della quotazione</w:t>
      </w:r>
      <w:r w:rsidRPr="00FA7C85">
        <w:rPr>
          <w:rFonts w:ascii="Arial" w:hAnsi="Arial" w:cs="Arial"/>
        </w:rPr>
        <w:t xml:space="preserve"> entro una </w:t>
      </w:r>
      <w:r w:rsidRPr="00FA7C85">
        <w:rPr>
          <w:rFonts w:ascii="Arial" w:hAnsi="Arial" w:cs="Arial"/>
          <w:b/>
          <w:bCs/>
        </w:rPr>
        <w:t>circoscritta finestra temporale</w:t>
      </w:r>
      <w:r w:rsidRPr="00FA7C85">
        <w:rPr>
          <w:rFonts w:ascii="Arial" w:hAnsi="Arial" w:cs="Arial"/>
        </w:rPr>
        <w:t xml:space="preserve">, che si è chiusa, al più tardi, un anno dopo l’entrata in vigore del TUSP (da ciò risultando una </w:t>
      </w:r>
      <w:r w:rsidRPr="00FA7C85">
        <w:rPr>
          <w:rFonts w:ascii="Arial" w:hAnsi="Arial" w:cs="Arial"/>
          <w:b/>
          <w:bCs/>
        </w:rPr>
        <w:t>marcata differenza di trattamento</w:t>
      </w:r>
      <w:r w:rsidRPr="00FA7C85">
        <w:rPr>
          <w:rFonts w:ascii="Arial" w:hAnsi="Arial" w:cs="Arial"/>
        </w:rPr>
        <w:t xml:space="preserve"> rispetto alle società emittenti strumenti azionari, che il TUSP considera “quotate” per effetto e in coincidenza della quotazione, in qualunque tempo intervenuta). </w:t>
      </w:r>
    </w:p>
    <w:p w14:paraId="6275D302" w14:textId="77777777" w:rsidR="00FA7C85" w:rsidRPr="00FA7C85" w:rsidRDefault="00FA7C85" w:rsidP="00FA7C85">
      <w:pPr>
        <w:jc w:val="both"/>
        <w:rPr>
          <w:rFonts w:ascii="Arial" w:hAnsi="Arial" w:cs="Arial"/>
        </w:rPr>
      </w:pPr>
    </w:p>
    <w:p w14:paraId="5D2CF174" w14:textId="77777777" w:rsidR="00FA7C85" w:rsidRDefault="00FA7C85" w:rsidP="00FA7C85">
      <w:pPr>
        <w:jc w:val="both"/>
        <w:rPr>
          <w:rFonts w:ascii="Arial" w:hAnsi="Arial" w:cs="Arial"/>
        </w:rPr>
      </w:pPr>
      <w:r w:rsidRPr="00FA7C85">
        <w:rPr>
          <w:rFonts w:ascii="Arial" w:hAnsi="Arial" w:cs="Arial"/>
        </w:rPr>
        <w:t xml:space="preserve">Il documento si chiede cosa accade allorché lo strumento finanziario </w:t>
      </w:r>
      <w:r w:rsidRPr="00FA7C85">
        <w:rPr>
          <w:rFonts w:ascii="Arial" w:hAnsi="Arial" w:cs="Arial"/>
          <w:b/>
          <w:bCs/>
        </w:rPr>
        <w:t>giunga a scadenza</w:t>
      </w:r>
      <w:r w:rsidRPr="00FA7C85">
        <w:rPr>
          <w:rFonts w:ascii="Arial" w:hAnsi="Arial" w:cs="Arial"/>
        </w:rPr>
        <w:t xml:space="preserve">. La società perde </w:t>
      </w:r>
      <w:r w:rsidRPr="00FA7C85">
        <w:rPr>
          <w:rFonts w:ascii="Arial" w:hAnsi="Arial" w:cs="Arial"/>
          <w:b/>
          <w:bCs/>
        </w:rPr>
        <w:t>irrimediabilmente e irreversibilmente</w:t>
      </w:r>
      <w:r w:rsidRPr="00FA7C85">
        <w:rPr>
          <w:rFonts w:ascii="Arial" w:hAnsi="Arial" w:cs="Arial"/>
        </w:rPr>
        <w:t xml:space="preserve"> lo status di quotata (con conseguente attrazione nella sfera applicativa del TUSP) oppure può conservare detto status (o addirittura riacquistarlo) per effetto di una </w:t>
      </w:r>
      <w:r w:rsidRPr="00FA7C85">
        <w:rPr>
          <w:rFonts w:ascii="Arial" w:hAnsi="Arial" w:cs="Arial"/>
          <w:b/>
          <w:bCs/>
        </w:rPr>
        <w:t>nuova emissione</w:t>
      </w:r>
      <w:r w:rsidRPr="00FA7C85">
        <w:rPr>
          <w:rFonts w:ascii="Arial" w:hAnsi="Arial" w:cs="Arial"/>
        </w:rPr>
        <w:t xml:space="preserve">? </w:t>
      </w:r>
    </w:p>
    <w:p w14:paraId="2037E767" w14:textId="77777777" w:rsidR="00FA7C85" w:rsidRPr="00FA7C85" w:rsidRDefault="00FA7C85" w:rsidP="00FA7C85">
      <w:pPr>
        <w:jc w:val="both"/>
        <w:rPr>
          <w:rFonts w:ascii="Arial" w:hAnsi="Arial" w:cs="Arial"/>
        </w:rPr>
      </w:pPr>
    </w:p>
    <w:p w14:paraId="1BB5225A" w14:textId="15FC9694" w:rsidR="00FA7C85" w:rsidRDefault="00FA7C85" w:rsidP="00FA7C85">
      <w:pPr>
        <w:jc w:val="both"/>
        <w:rPr>
          <w:rFonts w:ascii="Arial" w:hAnsi="Arial" w:cs="Arial"/>
        </w:rPr>
      </w:pPr>
      <w:r w:rsidRPr="00FA7C85">
        <w:rPr>
          <w:rFonts w:ascii="Arial" w:hAnsi="Arial" w:cs="Arial"/>
        </w:rPr>
        <w:t xml:space="preserve">“Il problema – afferma nell’introduzione il presidente del Consiglio nazionale, </w:t>
      </w:r>
      <w:r w:rsidRPr="00FA7C85">
        <w:rPr>
          <w:rFonts w:ascii="Arial" w:hAnsi="Arial" w:cs="Arial"/>
          <w:b/>
          <w:bCs/>
        </w:rPr>
        <w:t>Elbano de Nuccio</w:t>
      </w:r>
      <w:r w:rsidRPr="00FA7C85">
        <w:rPr>
          <w:rFonts w:ascii="Arial" w:hAnsi="Arial" w:cs="Arial"/>
        </w:rPr>
        <w:t xml:space="preserve"> </w:t>
      </w:r>
      <w:r w:rsidR="002028C0">
        <w:rPr>
          <w:rFonts w:ascii="Arial" w:hAnsi="Arial" w:cs="Arial"/>
        </w:rPr>
        <w:t>–</w:t>
      </w:r>
      <w:r w:rsidRPr="00FA7C85">
        <w:rPr>
          <w:rFonts w:ascii="Arial" w:hAnsi="Arial" w:cs="Arial"/>
        </w:rPr>
        <w:t xml:space="preserve"> non è di poco conto, considerato che, a ormai sette anni dall’entrata in vigore del TUSP, per diverse società </w:t>
      </w:r>
      <w:r w:rsidR="00AC794D">
        <w:rPr>
          <w:rFonts w:ascii="Arial" w:hAnsi="Arial" w:cs="Arial"/>
        </w:rPr>
        <w:t>“</w:t>
      </w:r>
      <w:r w:rsidRPr="00FA7C85">
        <w:rPr>
          <w:rFonts w:ascii="Arial" w:hAnsi="Arial" w:cs="Arial"/>
        </w:rPr>
        <w:t>quotate</w:t>
      </w:r>
      <w:r w:rsidR="00AC794D">
        <w:rPr>
          <w:rFonts w:ascii="Arial" w:hAnsi="Arial" w:cs="Arial"/>
        </w:rPr>
        <w:t>”</w:t>
      </w:r>
      <w:r w:rsidRPr="00FA7C85">
        <w:rPr>
          <w:rFonts w:ascii="Arial" w:hAnsi="Arial" w:cs="Arial"/>
        </w:rPr>
        <w:t xml:space="preserve"> tale scadenza è ormai prossima. L’</w:t>
      </w:r>
      <w:r w:rsidRPr="00FA7C85">
        <w:rPr>
          <w:rFonts w:ascii="Arial" w:hAnsi="Arial" w:cs="Arial"/>
          <w:b/>
          <w:bCs/>
        </w:rPr>
        <w:t>incertezza</w:t>
      </w:r>
      <w:r w:rsidRPr="00FA7C85">
        <w:rPr>
          <w:rFonts w:ascii="Arial" w:hAnsi="Arial" w:cs="Arial"/>
        </w:rPr>
        <w:t xml:space="preserve"> circa il </w:t>
      </w:r>
      <w:r w:rsidRPr="00FA7C85">
        <w:rPr>
          <w:rFonts w:ascii="Arial" w:hAnsi="Arial" w:cs="Arial"/>
          <w:b/>
          <w:bCs/>
        </w:rPr>
        <w:t>regime applicabile</w:t>
      </w:r>
      <w:r w:rsidRPr="00FA7C85">
        <w:rPr>
          <w:rFonts w:ascii="Arial" w:hAnsi="Arial" w:cs="Arial"/>
        </w:rPr>
        <w:t xml:space="preserve"> merita di essere </w:t>
      </w:r>
      <w:r w:rsidRPr="00FA7C85">
        <w:rPr>
          <w:rFonts w:ascii="Arial" w:hAnsi="Arial" w:cs="Arial"/>
          <w:b/>
          <w:bCs/>
        </w:rPr>
        <w:t>dissipata</w:t>
      </w:r>
      <w:r w:rsidRPr="00FA7C85">
        <w:rPr>
          <w:rFonts w:ascii="Arial" w:hAnsi="Arial" w:cs="Arial"/>
        </w:rPr>
        <w:t xml:space="preserve">, posto che, agli occhi di eventuali investitori, è tutt’altro che indifferente che la società emittente vada o meno incontro all’applicazione del TUSP. Come evidenziato al nostro Consiglio nazionale da operatori di varie estrazioni professionali, la società a partecipazione pubblica che ricade nel regime vincolistico del TUSP rischia di risultare </w:t>
      </w:r>
      <w:r w:rsidRPr="00FA7C85">
        <w:rPr>
          <w:rFonts w:ascii="Arial" w:hAnsi="Arial" w:cs="Arial"/>
          <w:b/>
          <w:bCs/>
        </w:rPr>
        <w:t>meno attrattiva</w:t>
      </w:r>
      <w:r w:rsidRPr="00FA7C85">
        <w:rPr>
          <w:rFonts w:ascii="Arial" w:hAnsi="Arial" w:cs="Arial"/>
        </w:rPr>
        <w:t xml:space="preserve"> e quindi di incontrare maggiori difficoltà nel collocare i nuovi strumenti finanziari e, per tale via, nel </w:t>
      </w:r>
      <w:r w:rsidRPr="00FA7C85">
        <w:rPr>
          <w:rFonts w:ascii="Arial" w:hAnsi="Arial" w:cs="Arial"/>
          <w:b/>
          <w:bCs/>
        </w:rPr>
        <w:t xml:space="preserve">finanziarsi </w:t>
      </w:r>
      <w:r w:rsidRPr="00FA7C85">
        <w:rPr>
          <w:rFonts w:ascii="Arial" w:hAnsi="Arial" w:cs="Arial"/>
        </w:rPr>
        <w:t>al fine di mantenere quantomeno costante il livello degli investimenti garantito dall’emissione originaria”.</w:t>
      </w:r>
    </w:p>
    <w:p w14:paraId="4B856737" w14:textId="77777777" w:rsidR="002028C0" w:rsidRPr="00FA7C85" w:rsidRDefault="002028C0" w:rsidP="00FA7C85">
      <w:pPr>
        <w:jc w:val="both"/>
        <w:rPr>
          <w:rFonts w:ascii="Arial" w:hAnsi="Arial" w:cs="Arial"/>
        </w:rPr>
      </w:pPr>
    </w:p>
    <w:p w14:paraId="0EF39890" w14:textId="77777777" w:rsidR="00FA7C85" w:rsidRDefault="00FA7C85" w:rsidP="00FA7C85">
      <w:pPr>
        <w:jc w:val="both"/>
        <w:rPr>
          <w:rFonts w:ascii="Arial" w:hAnsi="Arial" w:cs="Arial"/>
        </w:rPr>
      </w:pPr>
      <w:r w:rsidRPr="00FA7C85">
        <w:rPr>
          <w:rFonts w:ascii="Arial" w:hAnsi="Arial" w:cs="Arial"/>
        </w:rPr>
        <w:t xml:space="preserve">Muovendo dalla ricostruzione del quadro normativo previgente, che evidenzia, in materia di società a partecipazione pubblica, la tendenza del legislatore storico a </w:t>
      </w:r>
      <w:r w:rsidRPr="00FA7C85">
        <w:rPr>
          <w:rFonts w:ascii="Arial" w:hAnsi="Arial" w:cs="Arial"/>
          <w:b/>
          <w:bCs/>
        </w:rPr>
        <w:t xml:space="preserve">trattare allo stesso modo </w:t>
      </w:r>
      <w:r w:rsidRPr="00C41685">
        <w:rPr>
          <w:rFonts w:ascii="Arial" w:hAnsi="Arial" w:cs="Arial"/>
          <w:bCs/>
        </w:rPr>
        <w:t>l</w:t>
      </w:r>
      <w:r w:rsidRPr="00FA7C85">
        <w:rPr>
          <w:rFonts w:ascii="Arial" w:hAnsi="Arial" w:cs="Arial"/>
        </w:rPr>
        <w:t xml:space="preserve">e società emittenti azioni quotate e quelle emittenti strumenti quotati non azionari, l’Osservatorio del CNDCEC conclude che, “nel contesto attuale, la scadenza dello strumento non azionario </w:t>
      </w:r>
      <w:r w:rsidRPr="00FA7C85">
        <w:rPr>
          <w:rFonts w:ascii="Arial" w:hAnsi="Arial" w:cs="Arial"/>
          <w:b/>
          <w:bCs/>
        </w:rPr>
        <w:t>non preclude</w:t>
      </w:r>
      <w:r w:rsidRPr="00FA7C85">
        <w:rPr>
          <w:rFonts w:ascii="Arial" w:hAnsi="Arial" w:cs="Arial"/>
        </w:rPr>
        <w:t xml:space="preserve"> alla società a partecipazione pubblica la conservazione dello status di società quotata. A condizione però che segua </w:t>
      </w:r>
      <w:r w:rsidRPr="00FA7C85">
        <w:rPr>
          <w:rFonts w:ascii="Arial" w:hAnsi="Arial" w:cs="Arial"/>
          <w:b/>
          <w:bCs/>
        </w:rPr>
        <w:t>una nuova emissione sui mercati regolamentati</w:t>
      </w:r>
      <w:r w:rsidRPr="00FA7C85">
        <w:rPr>
          <w:rFonts w:ascii="Arial" w:hAnsi="Arial" w:cs="Arial"/>
        </w:rPr>
        <w:t xml:space="preserve">, e sempreché questa intervenga in </w:t>
      </w:r>
      <w:r w:rsidRPr="00FA7C85">
        <w:rPr>
          <w:rFonts w:ascii="Arial" w:hAnsi="Arial" w:cs="Arial"/>
          <w:b/>
          <w:bCs/>
        </w:rPr>
        <w:t>sostanziale continuità</w:t>
      </w:r>
      <w:r w:rsidRPr="00FA7C85">
        <w:rPr>
          <w:rFonts w:ascii="Arial" w:hAnsi="Arial" w:cs="Arial"/>
        </w:rPr>
        <w:t xml:space="preserve">, così da non potersi ravvisare uno iato significativo rispetto alla fattispecie originaria”. </w:t>
      </w:r>
    </w:p>
    <w:p w14:paraId="323072D4" w14:textId="77777777" w:rsidR="00FA7C85" w:rsidRPr="00FA7C85" w:rsidRDefault="00FA7C85" w:rsidP="00FA7C85">
      <w:pPr>
        <w:jc w:val="both"/>
        <w:rPr>
          <w:rFonts w:ascii="Arial" w:hAnsi="Arial" w:cs="Arial"/>
        </w:rPr>
      </w:pPr>
    </w:p>
    <w:p w14:paraId="07B1F06F" w14:textId="32123BB5" w:rsidR="00FA7C85" w:rsidRPr="00FA7C85" w:rsidRDefault="00FA7C85" w:rsidP="00FA7C85">
      <w:pPr>
        <w:jc w:val="both"/>
        <w:rPr>
          <w:rFonts w:ascii="Arial" w:hAnsi="Arial" w:cs="Arial"/>
        </w:rPr>
      </w:pPr>
      <w:r w:rsidRPr="00FA7C85">
        <w:rPr>
          <w:rFonts w:ascii="Arial" w:hAnsi="Arial" w:cs="Arial"/>
        </w:rPr>
        <w:t xml:space="preserve">“Tale soluzione – aggiunge </w:t>
      </w:r>
      <w:r w:rsidR="003F64C3">
        <w:rPr>
          <w:rFonts w:ascii="Arial" w:hAnsi="Arial" w:cs="Arial"/>
        </w:rPr>
        <w:t>i</w:t>
      </w:r>
      <w:r w:rsidRPr="00FA7C85">
        <w:rPr>
          <w:rFonts w:ascii="Arial" w:hAnsi="Arial" w:cs="Arial"/>
        </w:rPr>
        <w:t xml:space="preserve">l coordinatore scientifico dell’Osservatorio Enti Pubblici e Società partecipate, </w:t>
      </w:r>
      <w:r w:rsidRPr="00FA7C85">
        <w:rPr>
          <w:rFonts w:ascii="Arial" w:hAnsi="Arial" w:cs="Arial"/>
          <w:b/>
          <w:bCs/>
        </w:rPr>
        <w:t>Davide di Russo</w:t>
      </w:r>
      <w:r w:rsidRPr="00FA7C85">
        <w:rPr>
          <w:rFonts w:ascii="Arial" w:hAnsi="Arial" w:cs="Arial"/>
        </w:rPr>
        <w:t xml:space="preserve"> </w:t>
      </w:r>
      <w:r w:rsidR="003F64C3">
        <w:rPr>
          <w:rFonts w:ascii="Arial" w:hAnsi="Arial" w:cs="Arial"/>
        </w:rPr>
        <w:t>–,</w:t>
      </w:r>
      <w:r w:rsidRPr="00FA7C85">
        <w:rPr>
          <w:rFonts w:ascii="Arial" w:hAnsi="Arial" w:cs="Arial"/>
        </w:rPr>
        <w:t xml:space="preserve"> che si deve al fertile confronto tra gli autorevoli componenti dell’Osservatorio, rappresenta il </w:t>
      </w:r>
      <w:r w:rsidRPr="00FA7C85">
        <w:rPr>
          <w:rFonts w:ascii="Arial" w:hAnsi="Arial" w:cs="Arial"/>
          <w:b/>
          <w:bCs/>
        </w:rPr>
        <w:t>punto di equilibrio</w:t>
      </w:r>
      <w:r w:rsidRPr="00FA7C85">
        <w:rPr>
          <w:rFonts w:ascii="Arial" w:hAnsi="Arial" w:cs="Arial"/>
        </w:rPr>
        <w:t xml:space="preserve"> tra la ratio alla base dell’assetto dettato dal TUSP e </w:t>
      </w:r>
      <w:r w:rsidRPr="00FA7C85">
        <w:rPr>
          <w:rFonts w:ascii="Arial" w:hAnsi="Arial" w:cs="Arial"/>
          <w:b/>
          <w:bCs/>
        </w:rPr>
        <w:t>ragionevolezza</w:t>
      </w:r>
      <w:r w:rsidRPr="00FA7C85">
        <w:rPr>
          <w:rFonts w:ascii="Arial" w:hAnsi="Arial" w:cs="Arial"/>
        </w:rPr>
        <w:t xml:space="preserve"> nell’interpretazione della norma, in attesa di un </w:t>
      </w:r>
      <w:r w:rsidRPr="00FA7C85">
        <w:rPr>
          <w:rFonts w:ascii="Arial" w:hAnsi="Arial" w:cs="Arial"/>
          <w:b/>
          <w:bCs/>
        </w:rPr>
        <w:t>auspicato intervento chiarificatore e semplificatore</w:t>
      </w:r>
      <w:r w:rsidRPr="00FA7C85">
        <w:rPr>
          <w:rFonts w:ascii="Arial" w:hAnsi="Arial" w:cs="Arial"/>
        </w:rPr>
        <w:t xml:space="preserve"> da parte del legislatore, che aggiorni </w:t>
      </w:r>
      <w:r w:rsidRPr="00FA7C85">
        <w:rPr>
          <w:rFonts w:ascii="Arial" w:hAnsi="Arial" w:cs="Arial"/>
          <w:bdr w:val="none" w:sz="0" w:space="0" w:color="auto" w:frame="1"/>
        </w:rPr>
        <w:t>il testo normativo sul punto</w:t>
      </w:r>
      <w:r w:rsidRPr="00FA7C85">
        <w:rPr>
          <w:rFonts w:ascii="Arial" w:hAnsi="Arial" w:cs="Arial"/>
        </w:rPr>
        <w:t xml:space="preserve">”. </w:t>
      </w:r>
    </w:p>
    <w:sectPr w:rsidR="00FA7C85" w:rsidRPr="00FA7C85">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8E438" w14:textId="77777777" w:rsidR="00E057E4" w:rsidRDefault="00E057E4" w:rsidP="00A25D50">
      <w:r>
        <w:separator/>
      </w:r>
    </w:p>
  </w:endnote>
  <w:endnote w:type="continuationSeparator" w:id="0">
    <w:p w14:paraId="1AD2F391" w14:textId="77777777" w:rsidR="00E057E4" w:rsidRDefault="00E057E4" w:rsidP="00A2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tcCenturyLight">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8E684" w14:textId="77777777" w:rsidR="00E057E4" w:rsidRDefault="00E057E4" w:rsidP="00A25D50">
      <w:r>
        <w:separator/>
      </w:r>
    </w:p>
  </w:footnote>
  <w:footnote w:type="continuationSeparator" w:id="0">
    <w:p w14:paraId="25AAD2D7" w14:textId="77777777" w:rsidR="00E057E4" w:rsidRDefault="00E057E4" w:rsidP="00A25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71A1A" w14:textId="77777777" w:rsidR="003B37B2" w:rsidRPr="005816F1" w:rsidRDefault="004E3EC6" w:rsidP="004E3EC6">
    <w:pPr>
      <w:pStyle w:val="Intestazione"/>
      <w:tabs>
        <w:tab w:val="clear" w:pos="4819"/>
        <w:tab w:val="clear" w:pos="9638"/>
        <w:tab w:val="left" w:pos="1605"/>
        <w:tab w:val="left" w:pos="2745"/>
      </w:tabs>
      <w:jc w:val="center"/>
      <w:rPr>
        <w:sz w:val="24"/>
        <w:szCs w:val="24"/>
      </w:rPr>
    </w:pPr>
    <w:r>
      <w:rPr>
        <w:noProof/>
      </w:rPr>
      <w:drawing>
        <wp:inline distT="0" distB="0" distL="0" distR="0" wp14:anchorId="241F1074" wp14:editId="56C6E82A">
          <wp:extent cx="2926080" cy="993913"/>
          <wp:effectExtent l="0" t="0" r="0" b="0"/>
          <wp:docPr id="2112599317" name="Immagine 2112599317"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8130" cy="9946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A39F4"/>
    <w:multiLevelType w:val="hybridMultilevel"/>
    <w:tmpl w:val="F2683F6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61203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D50"/>
    <w:rsid w:val="00007C23"/>
    <w:rsid w:val="00012E93"/>
    <w:rsid w:val="00027BE3"/>
    <w:rsid w:val="00041437"/>
    <w:rsid w:val="00051B2D"/>
    <w:rsid w:val="000555C2"/>
    <w:rsid w:val="00055C12"/>
    <w:rsid w:val="00055F8A"/>
    <w:rsid w:val="000573AE"/>
    <w:rsid w:val="00071CF9"/>
    <w:rsid w:val="00074F9D"/>
    <w:rsid w:val="00080E29"/>
    <w:rsid w:val="0009108B"/>
    <w:rsid w:val="000A1238"/>
    <w:rsid w:val="000A3C95"/>
    <w:rsid w:val="000A3D02"/>
    <w:rsid w:val="000B23B8"/>
    <w:rsid w:val="000C4581"/>
    <w:rsid w:val="000D1140"/>
    <w:rsid w:val="000D46D2"/>
    <w:rsid w:val="000E5717"/>
    <w:rsid w:val="000F1CA8"/>
    <w:rsid w:val="000F659E"/>
    <w:rsid w:val="001072C8"/>
    <w:rsid w:val="00111CF5"/>
    <w:rsid w:val="00127A00"/>
    <w:rsid w:val="00136CF7"/>
    <w:rsid w:val="001447D0"/>
    <w:rsid w:val="00164C51"/>
    <w:rsid w:val="00177F55"/>
    <w:rsid w:val="0018410F"/>
    <w:rsid w:val="001A0044"/>
    <w:rsid w:val="001A72B2"/>
    <w:rsid w:val="001B66AB"/>
    <w:rsid w:val="001C4D6B"/>
    <w:rsid w:val="001D3F66"/>
    <w:rsid w:val="001D48AE"/>
    <w:rsid w:val="001E0307"/>
    <w:rsid w:val="001E2682"/>
    <w:rsid w:val="001E4EF0"/>
    <w:rsid w:val="001F21E4"/>
    <w:rsid w:val="001F399E"/>
    <w:rsid w:val="001F4202"/>
    <w:rsid w:val="001F6765"/>
    <w:rsid w:val="002028C0"/>
    <w:rsid w:val="0020469F"/>
    <w:rsid w:val="00204F62"/>
    <w:rsid w:val="00216437"/>
    <w:rsid w:val="0022126A"/>
    <w:rsid w:val="0023378D"/>
    <w:rsid w:val="00237EC9"/>
    <w:rsid w:val="00243892"/>
    <w:rsid w:val="00243F31"/>
    <w:rsid w:val="00245F8E"/>
    <w:rsid w:val="002647CB"/>
    <w:rsid w:val="00267E62"/>
    <w:rsid w:val="00277377"/>
    <w:rsid w:val="002A143A"/>
    <w:rsid w:val="002A46B8"/>
    <w:rsid w:val="002A74FE"/>
    <w:rsid w:val="002B687E"/>
    <w:rsid w:val="002B7D2B"/>
    <w:rsid w:val="002E1067"/>
    <w:rsid w:val="002F0117"/>
    <w:rsid w:val="003002C5"/>
    <w:rsid w:val="0031113D"/>
    <w:rsid w:val="00333A0F"/>
    <w:rsid w:val="0034189F"/>
    <w:rsid w:val="00347274"/>
    <w:rsid w:val="00356418"/>
    <w:rsid w:val="00365441"/>
    <w:rsid w:val="003771AB"/>
    <w:rsid w:val="00382DCB"/>
    <w:rsid w:val="00394F50"/>
    <w:rsid w:val="00396E64"/>
    <w:rsid w:val="003A2DAE"/>
    <w:rsid w:val="003A52D9"/>
    <w:rsid w:val="003A643A"/>
    <w:rsid w:val="003A73E6"/>
    <w:rsid w:val="003B37B2"/>
    <w:rsid w:val="003E3AB2"/>
    <w:rsid w:val="003F64C3"/>
    <w:rsid w:val="00407826"/>
    <w:rsid w:val="004328C7"/>
    <w:rsid w:val="00446E08"/>
    <w:rsid w:val="00463C7D"/>
    <w:rsid w:val="004812F0"/>
    <w:rsid w:val="00486CCC"/>
    <w:rsid w:val="004B1F06"/>
    <w:rsid w:val="004B7F50"/>
    <w:rsid w:val="004C59E2"/>
    <w:rsid w:val="004E00C0"/>
    <w:rsid w:val="004E34CF"/>
    <w:rsid w:val="004E3EC6"/>
    <w:rsid w:val="004F0506"/>
    <w:rsid w:val="004F6EF6"/>
    <w:rsid w:val="0050036C"/>
    <w:rsid w:val="00503FF5"/>
    <w:rsid w:val="005135B9"/>
    <w:rsid w:val="00513CFB"/>
    <w:rsid w:val="0052277C"/>
    <w:rsid w:val="0053620E"/>
    <w:rsid w:val="00537AF6"/>
    <w:rsid w:val="005409C2"/>
    <w:rsid w:val="00543803"/>
    <w:rsid w:val="00544C5E"/>
    <w:rsid w:val="0054646C"/>
    <w:rsid w:val="005503BE"/>
    <w:rsid w:val="00561CB7"/>
    <w:rsid w:val="005B64A0"/>
    <w:rsid w:val="006149CB"/>
    <w:rsid w:val="006150FC"/>
    <w:rsid w:val="00645F87"/>
    <w:rsid w:val="006559BC"/>
    <w:rsid w:val="00685BF9"/>
    <w:rsid w:val="00687D67"/>
    <w:rsid w:val="0069238F"/>
    <w:rsid w:val="00692C5A"/>
    <w:rsid w:val="006B0A61"/>
    <w:rsid w:val="006B282B"/>
    <w:rsid w:val="006B3326"/>
    <w:rsid w:val="006B5515"/>
    <w:rsid w:val="006C090E"/>
    <w:rsid w:val="006C4593"/>
    <w:rsid w:val="006C4C65"/>
    <w:rsid w:val="00713B57"/>
    <w:rsid w:val="00733833"/>
    <w:rsid w:val="00740F1F"/>
    <w:rsid w:val="007410F9"/>
    <w:rsid w:val="007451A9"/>
    <w:rsid w:val="00763CE4"/>
    <w:rsid w:val="00772CD8"/>
    <w:rsid w:val="00777FC6"/>
    <w:rsid w:val="00780F0B"/>
    <w:rsid w:val="007840AA"/>
    <w:rsid w:val="007C2A85"/>
    <w:rsid w:val="007D5140"/>
    <w:rsid w:val="007E7258"/>
    <w:rsid w:val="0080228B"/>
    <w:rsid w:val="00803B21"/>
    <w:rsid w:val="008168D0"/>
    <w:rsid w:val="0081779E"/>
    <w:rsid w:val="00840BF8"/>
    <w:rsid w:val="008417DC"/>
    <w:rsid w:val="00842154"/>
    <w:rsid w:val="0088021D"/>
    <w:rsid w:val="00883612"/>
    <w:rsid w:val="00895B38"/>
    <w:rsid w:val="00897909"/>
    <w:rsid w:val="008B3982"/>
    <w:rsid w:val="008C35A0"/>
    <w:rsid w:val="008E140C"/>
    <w:rsid w:val="008E55E3"/>
    <w:rsid w:val="008F01F8"/>
    <w:rsid w:val="008F11DC"/>
    <w:rsid w:val="008F69B1"/>
    <w:rsid w:val="00901181"/>
    <w:rsid w:val="00904442"/>
    <w:rsid w:val="009357A4"/>
    <w:rsid w:val="009359D8"/>
    <w:rsid w:val="009558A6"/>
    <w:rsid w:val="009679A1"/>
    <w:rsid w:val="009726DC"/>
    <w:rsid w:val="0098232D"/>
    <w:rsid w:val="009A61B8"/>
    <w:rsid w:val="009B6359"/>
    <w:rsid w:val="009D18CC"/>
    <w:rsid w:val="009D2456"/>
    <w:rsid w:val="00A04E4C"/>
    <w:rsid w:val="00A152C6"/>
    <w:rsid w:val="00A2361E"/>
    <w:rsid w:val="00A23A10"/>
    <w:rsid w:val="00A25D50"/>
    <w:rsid w:val="00A357E1"/>
    <w:rsid w:val="00A36955"/>
    <w:rsid w:val="00A41325"/>
    <w:rsid w:val="00A547B5"/>
    <w:rsid w:val="00A618D3"/>
    <w:rsid w:val="00A6644F"/>
    <w:rsid w:val="00A67C3B"/>
    <w:rsid w:val="00A74AA6"/>
    <w:rsid w:val="00A854AA"/>
    <w:rsid w:val="00AA28F5"/>
    <w:rsid w:val="00AA73DA"/>
    <w:rsid w:val="00AC794D"/>
    <w:rsid w:val="00AE049F"/>
    <w:rsid w:val="00AE0BB1"/>
    <w:rsid w:val="00AE2F64"/>
    <w:rsid w:val="00AE2FF1"/>
    <w:rsid w:val="00B064DC"/>
    <w:rsid w:val="00B154FD"/>
    <w:rsid w:val="00B2654F"/>
    <w:rsid w:val="00B278C1"/>
    <w:rsid w:val="00B56245"/>
    <w:rsid w:val="00B623C7"/>
    <w:rsid w:val="00B90387"/>
    <w:rsid w:val="00B93E34"/>
    <w:rsid w:val="00BA19DE"/>
    <w:rsid w:val="00BB3259"/>
    <w:rsid w:val="00BC0331"/>
    <w:rsid w:val="00BC683F"/>
    <w:rsid w:val="00BE5CB4"/>
    <w:rsid w:val="00BF179D"/>
    <w:rsid w:val="00BF6083"/>
    <w:rsid w:val="00C04C6A"/>
    <w:rsid w:val="00C11198"/>
    <w:rsid w:val="00C17FC9"/>
    <w:rsid w:val="00C20913"/>
    <w:rsid w:val="00C25278"/>
    <w:rsid w:val="00C2586F"/>
    <w:rsid w:val="00C3730F"/>
    <w:rsid w:val="00C410B5"/>
    <w:rsid w:val="00C41685"/>
    <w:rsid w:val="00C6302D"/>
    <w:rsid w:val="00C66A20"/>
    <w:rsid w:val="00C703AA"/>
    <w:rsid w:val="00C76BEE"/>
    <w:rsid w:val="00C80173"/>
    <w:rsid w:val="00C82382"/>
    <w:rsid w:val="00C84922"/>
    <w:rsid w:val="00C87780"/>
    <w:rsid w:val="00C974AB"/>
    <w:rsid w:val="00CC6E36"/>
    <w:rsid w:val="00CC7EDA"/>
    <w:rsid w:val="00CE2F74"/>
    <w:rsid w:val="00D31EDC"/>
    <w:rsid w:val="00D626C3"/>
    <w:rsid w:val="00D66F96"/>
    <w:rsid w:val="00D742E0"/>
    <w:rsid w:val="00D8383C"/>
    <w:rsid w:val="00D86F1A"/>
    <w:rsid w:val="00D97F3B"/>
    <w:rsid w:val="00DA0ED2"/>
    <w:rsid w:val="00DB0771"/>
    <w:rsid w:val="00DC6813"/>
    <w:rsid w:val="00DE7244"/>
    <w:rsid w:val="00DF2F2E"/>
    <w:rsid w:val="00DF6933"/>
    <w:rsid w:val="00E057E4"/>
    <w:rsid w:val="00E4100D"/>
    <w:rsid w:val="00E80398"/>
    <w:rsid w:val="00EB7B7B"/>
    <w:rsid w:val="00EC1A2D"/>
    <w:rsid w:val="00ED55FF"/>
    <w:rsid w:val="00ED7A3F"/>
    <w:rsid w:val="00EE2F69"/>
    <w:rsid w:val="00F011E8"/>
    <w:rsid w:val="00F156C0"/>
    <w:rsid w:val="00F21C61"/>
    <w:rsid w:val="00F45169"/>
    <w:rsid w:val="00F53C83"/>
    <w:rsid w:val="00F54D2A"/>
    <w:rsid w:val="00F5789E"/>
    <w:rsid w:val="00F70F2A"/>
    <w:rsid w:val="00F85E4E"/>
    <w:rsid w:val="00F8774F"/>
    <w:rsid w:val="00F910CC"/>
    <w:rsid w:val="00F970FF"/>
    <w:rsid w:val="00FA7C85"/>
    <w:rsid w:val="00FB1FE4"/>
    <w:rsid w:val="00FB6832"/>
    <w:rsid w:val="00FC23F6"/>
    <w:rsid w:val="00FD5B72"/>
    <w:rsid w:val="00FD6D4F"/>
    <w:rsid w:val="00FE1C1C"/>
    <w:rsid w:val="00FF285E"/>
    <w:rsid w:val="00FF47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08C36"/>
  <w15:docId w15:val="{1AB63A64-E29F-4F0A-BDEB-1C93A3EEA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25D50"/>
    <w:pPr>
      <w:spacing w:after="0" w:line="240" w:lineRule="auto"/>
    </w:pPr>
  </w:style>
  <w:style w:type="paragraph" w:styleId="Titolo1">
    <w:name w:val="heading 1"/>
    <w:basedOn w:val="Normale"/>
    <w:link w:val="Titolo1Carattere"/>
    <w:uiPriority w:val="9"/>
    <w:qFormat/>
    <w:rsid w:val="001E2682"/>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next w:val="Normale"/>
    <w:link w:val="Titolo3Carattere"/>
    <w:uiPriority w:val="9"/>
    <w:semiHidden/>
    <w:unhideWhenUsed/>
    <w:qFormat/>
    <w:rsid w:val="008F11D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25D50"/>
    <w:pPr>
      <w:tabs>
        <w:tab w:val="center" w:pos="4819"/>
        <w:tab w:val="right" w:pos="9638"/>
      </w:tabs>
    </w:pPr>
  </w:style>
  <w:style w:type="character" w:customStyle="1" w:styleId="IntestazioneCarattere">
    <w:name w:val="Intestazione Carattere"/>
    <w:basedOn w:val="Carpredefinitoparagrafo"/>
    <w:link w:val="Intestazione"/>
    <w:uiPriority w:val="99"/>
    <w:rsid w:val="00A25D50"/>
  </w:style>
  <w:style w:type="paragraph" w:styleId="Pidipagina">
    <w:name w:val="footer"/>
    <w:basedOn w:val="Normale"/>
    <w:link w:val="PidipaginaCarattere"/>
    <w:uiPriority w:val="99"/>
    <w:unhideWhenUsed/>
    <w:rsid w:val="00A25D50"/>
    <w:pPr>
      <w:tabs>
        <w:tab w:val="center" w:pos="4819"/>
        <w:tab w:val="right" w:pos="9638"/>
      </w:tabs>
    </w:pPr>
  </w:style>
  <w:style w:type="character" w:customStyle="1" w:styleId="PidipaginaCarattere">
    <w:name w:val="Piè di pagina Carattere"/>
    <w:basedOn w:val="Carpredefinitoparagrafo"/>
    <w:link w:val="Pidipagina"/>
    <w:uiPriority w:val="99"/>
    <w:rsid w:val="00A25D50"/>
  </w:style>
  <w:style w:type="paragraph" w:styleId="Firmadipostaelettronica">
    <w:name w:val="E-mail Signature"/>
    <w:basedOn w:val="Normale"/>
    <w:link w:val="FirmadipostaelettronicaCarattere"/>
    <w:uiPriority w:val="99"/>
    <w:unhideWhenUsed/>
    <w:rsid w:val="00A25D50"/>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A25D50"/>
    <w:rPr>
      <w:rFonts w:eastAsiaTheme="minorEastAsia"/>
      <w:lang w:eastAsia="it-IT"/>
    </w:rPr>
  </w:style>
  <w:style w:type="paragraph" w:customStyle="1" w:styleId="cpv">
    <w:name w:val="cpv"/>
    <w:uiPriority w:val="99"/>
    <w:rsid w:val="00A25D50"/>
    <w:pPr>
      <w:widowControl w:val="0"/>
      <w:tabs>
        <w:tab w:val="left" w:pos="0"/>
        <w:tab w:val="left" w:pos="1418"/>
        <w:tab w:val="left" w:pos="2835"/>
        <w:tab w:val="left" w:pos="4252"/>
      </w:tabs>
      <w:autoSpaceDE w:val="0"/>
      <w:autoSpaceDN w:val="0"/>
      <w:adjustRightInd w:val="0"/>
      <w:spacing w:before="175" w:after="0" w:line="25" w:lineRule="atLeast"/>
      <w:jc w:val="both"/>
    </w:pPr>
    <w:rPr>
      <w:rFonts w:ascii="ItcCenturyLight" w:eastAsia="Times New Roman" w:hAnsi="ItcCenturyLight" w:cs="ItcCenturyLight"/>
      <w:sz w:val="20"/>
      <w:szCs w:val="20"/>
      <w:lang w:eastAsia="it-IT"/>
    </w:rPr>
  </w:style>
  <w:style w:type="character" w:styleId="Collegamentoipertestuale">
    <w:name w:val="Hyperlink"/>
    <w:basedOn w:val="Carpredefinitoparagrafo"/>
    <w:uiPriority w:val="99"/>
    <w:unhideWhenUsed/>
    <w:rsid w:val="00A25D50"/>
    <w:rPr>
      <w:color w:val="0563C1" w:themeColor="hyperlink"/>
      <w:u w:val="single"/>
    </w:rPr>
  </w:style>
  <w:style w:type="character" w:styleId="Collegamentovisitato">
    <w:name w:val="FollowedHyperlink"/>
    <w:basedOn w:val="Carpredefinitoparagrafo"/>
    <w:uiPriority w:val="99"/>
    <w:semiHidden/>
    <w:unhideWhenUsed/>
    <w:rsid w:val="00A25D50"/>
    <w:rPr>
      <w:color w:val="954F72" w:themeColor="followedHyperlink"/>
      <w:u w:val="single"/>
    </w:rPr>
  </w:style>
  <w:style w:type="character" w:styleId="Menzionenonrisolta">
    <w:name w:val="Unresolved Mention"/>
    <w:basedOn w:val="Carpredefinitoparagrafo"/>
    <w:uiPriority w:val="99"/>
    <w:semiHidden/>
    <w:unhideWhenUsed/>
    <w:rsid w:val="00A25D50"/>
    <w:rPr>
      <w:color w:val="605E5C"/>
      <w:shd w:val="clear" w:color="auto" w:fill="E1DFDD"/>
    </w:rPr>
  </w:style>
  <w:style w:type="character" w:styleId="Rimandocommento">
    <w:name w:val="annotation reference"/>
    <w:basedOn w:val="Carpredefinitoparagrafo"/>
    <w:unhideWhenUsed/>
    <w:rsid w:val="008B3982"/>
    <w:rPr>
      <w:sz w:val="16"/>
      <w:szCs w:val="16"/>
    </w:rPr>
  </w:style>
  <w:style w:type="paragraph" w:styleId="Testocommento">
    <w:name w:val="annotation text"/>
    <w:basedOn w:val="Normale"/>
    <w:link w:val="TestocommentoCarattere"/>
    <w:unhideWhenUsed/>
    <w:rsid w:val="008B3982"/>
    <w:rPr>
      <w:sz w:val="20"/>
      <w:szCs w:val="20"/>
    </w:rPr>
  </w:style>
  <w:style w:type="character" w:customStyle="1" w:styleId="TestocommentoCarattere">
    <w:name w:val="Testo commento Carattere"/>
    <w:basedOn w:val="Carpredefinitoparagrafo"/>
    <w:link w:val="Testocommento"/>
    <w:rsid w:val="008B3982"/>
    <w:rPr>
      <w:sz w:val="20"/>
      <w:szCs w:val="20"/>
    </w:rPr>
  </w:style>
  <w:style w:type="paragraph" w:styleId="Soggettocommento">
    <w:name w:val="annotation subject"/>
    <w:basedOn w:val="Testocommento"/>
    <w:next w:val="Testocommento"/>
    <w:link w:val="SoggettocommentoCarattere"/>
    <w:uiPriority w:val="99"/>
    <w:semiHidden/>
    <w:unhideWhenUsed/>
    <w:rsid w:val="008B3982"/>
    <w:rPr>
      <w:b/>
      <w:bCs/>
    </w:rPr>
  </w:style>
  <w:style w:type="character" w:customStyle="1" w:styleId="SoggettocommentoCarattere">
    <w:name w:val="Soggetto commento Carattere"/>
    <w:basedOn w:val="TestocommentoCarattere"/>
    <w:link w:val="Soggettocommento"/>
    <w:uiPriority w:val="99"/>
    <w:semiHidden/>
    <w:rsid w:val="008B3982"/>
    <w:rPr>
      <w:b/>
      <w:bCs/>
      <w:sz w:val="20"/>
      <w:szCs w:val="20"/>
    </w:rPr>
  </w:style>
  <w:style w:type="paragraph" w:styleId="Testofumetto">
    <w:name w:val="Balloon Text"/>
    <w:basedOn w:val="Normale"/>
    <w:link w:val="TestofumettoCarattere"/>
    <w:uiPriority w:val="99"/>
    <w:semiHidden/>
    <w:unhideWhenUsed/>
    <w:rsid w:val="00772CD8"/>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772CD8"/>
    <w:rPr>
      <w:rFonts w:ascii="Times New Roman" w:hAnsi="Times New Roman" w:cs="Times New Roman"/>
      <w:sz w:val="18"/>
      <w:szCs w:val="18"/>
    </w:rPr>
  </w:style>
  <w:style w:type="paragraph" w:styleId="Revisione">
    <w:name w:val="Revision"/>
    <w:hidden/>
    <w:uiPriority w:val="99"/>
    <w:semiHidden/>
    <w:rsid w:val="003E3AB2"/>
    <w:pPr>
      <w:spacing w:after="0" w:line="240" w:lineRule="auto"/>
    </w:pPr>
  </w:style>
  <w:style w:type="paragraph" w:styleId="Paragrafoelenco">
    <w:name w:val="List Paragraph"/>
    <w:basedOn w:val="Normale"/>
    <w:uiPriority w:val="34"/>
    <w:qFormat/>
    <w:rsid w:val="001447D0"/>
    <w:pPr>
      <w:ind w:left="720"/>
      <w:contextualSpacing/>
    </w:pPr>
  </w:style>
  <w:style w:type="paragraph" w:customStyle="1" w:styleId="Default">
    <w:name w:val="Default"/>
    <w:rsid w:val="004F0506"/>
    <w:pPr>
      <w:autoSpaceDE w:val="0"/>
      <w:autoSpaceDN w:val="0"/>
      <w:adjustRightInd w:val="0"/>
      <w:spacing w:after="0" w:line="240" w:lineRule="auto"/>
    </w:pPr>
    <w:rPr>
      <w:rFonts w:ascii="Calibri" w:eastAsia="Calibri" w:hAnsi="Calibri" w:cs="Calibri"/>
      <w:color w:val="000000"/>
      <w:sz w:val="24"/>
      <w:szCs w:val="24"/>
    </w:rPr>
  </w:style>
  <w:style w:type="paragraph" w:styleId="PreformattatoHTML">
    <w:name w:val="HTML Preformatted"/>
    <w:basedOn w:val="Normale"/>
    <w:link w:val="PreformattatoHTMLCarattere"/>
    <w:uiPriority w:val="99"/>
    <w:semiHidden/>
    <w:unhideWhenUsed/>
    <w:rsid w:val="001F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1F399E"/>
    <w:rPr>
      <w:rFonts w:ascii="Courier New" w:eastAsia="Times New Roman" w:hAnsi="Courier New" w:cs="Courier New"/>
      <w:sz w:val="20"/>
      <w:szCs w:val="20"/>
      <w:lang w:eastAsia="it-IT"/>
    </w:rPr>
  </w:style>
  <w:style w:type="character" w:customStyle="1" w:styleId="y2iqfc">
    <w:name w:val="y2iqfc"/>
    <w:basedOn w:val="Carpredefinitoparagrafo"/>
    <w:rsid w:val="001F399E"/>
  </w:style>
  <w:style w:type="character" w:customStyle="1" w:styleId="Titolo1Carattere">
    <w:name w:val="Titolo 1 Carattere"/>
    <w:basedOn w:val="Carpredefinitoparagrafo"/>
    <w:link w:val="Titolo1"/>
    <w:uiPriority w:val="9"/>
    <w:rsid w:val="001E2682"/>
    <w:rPr>
      <w:rFonts w:ascii="Times New Roman" w:eastAsia="Times New Roman" w:hAnsi="Times New Roman" w:cs="Times New Roman"/>
      <w:b/>
      <w:bCs/>
      <w:kern w:val="36"/>
      <w:sz w:val="48"/>
      <w:szCs w:val="48"/>
      <w:lang w:eastAsia="it-IT"/>
    </w:rPr>
  </w:style>
  <w:style w:type="character" w:styleId="Enfasigrassetto">
    <w:name w:val="Strong"/>
    <w:basedOn w:val="Carpredefinitoparagrafo"/>
    <w:uiPriority w:val="22"/>
    <w:qFormat/>
    <w:rsid w:val="00BC0331"/>
    <w:rPr>
      <w:b/>
      <w:bCs/>
    </w:rPr>
  </w:style>
  <w:style w:type="paragraph" w:customStyle="1" w:styleId="TitoloDocumento">
    <w:name w:val="Titolo Documento"/>
    <w:basedOn w:val="Normale"/>
    <w:qFormat/>
    <w:rsid w:val="00C04C6A"/>
    <w:pPr>
      <w:autoSpaceDE w:val="0"/>
      <w:autoSpaceDN w:val="0"/>
      <w:adjustRightInd w:val="0"/>
      <w:jc w:val="both"/>
    </w:pPr>
    <w:rPr>
      <w:rFonts w:ascii="Calibri" w:eastAsia="Calibri" w:hAnsi="Calibri" w:cs="Calibri"/>
      <w:b/>
      <w:smallCaps/>
      <w:color w:val="FFFFFF" w:themeColor="background1"/>
      <w:sz w:val="72"/>
      <w:szCs w:val="72"/>
    </w:rPr>
  </w:style>
  <w:style w:type="paragraph" w:styleId="NormaleWeb">
    <w:name w:val="Normal (Web)"/>
    <w:basedOn w:val="Normale"/>
    <w:uiPriority w:val="99"/>
    <w:unhideWhenUsed/>
    <w:rsid w:val="001072C8"/>
    <w:rPr>
      <w:rFonts w:ascii="Times New Roman" w:hAnsi="Times New Roman" w:cs="Times New Roman"/>
      <w:sz w:val="24"/>
      <w:szCs w:val="24"/>
    </w:rPr>
  </w:style>
  <w:style w:type="paragraph" w:customStyle="1" w:styleId="xmsonormal">
    <w:name w:val="x_msonormal"/>
    <w:basedOn w:val="Normale"/>
    <w:rsid w:val="00FB6832"/>
    <w:pPr>
      <w:spacing w:before="100" w:beforeAutospacing="1" w:after="100" w:afterAutospacing="1"/>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22126A"/>
    <w:rPr>
      <w:i/>
      <w:iCs/>
    </w:rPr>
  </w:style>
  <w:style w:type="character" w:customStyle="1" w:styleId="Titolo3Carattere">
    <w:name w:val="Titolo 3 Carattere"/>
    <w:basedOn w:val="Carpredefinitoparagrafo"/>
    <w:link w:val="Titolo3"/>
    <w:uiPriority w:val="9"/>
    <w:semiHidden/>
    <w:rsid w:val="008F11DC"/>
    <w:rPr>
      <w:rFonts w:asciiTheme="majorHAnsi" w:eastAsiaTheme="majorEastAsia" w:hAnsiTheme="majorHAnsi" w:cstheme="majorBidi"/>
      <w:color w:val="1F3763" w:themeColor="accent1" w:themeShade="7F"/>
      <w:sz w:val="24"/>
      <w:szCs w:val="24"/>
    </w:rPr>
  </w:style>
  <w:style w:type="paragraph" w:styleId="Corpotesto">
    <w:name w:val="Body Text"/>
    <w:basedOn w:val="Normale"/>
    <w:link w:val="CorpotestoCarattere"/>
    <w:rsid w:val="00F85E4E"/>
    <w:pPr>
      <w:jc w:val="both"/>
    </w:pPr>
    <w:rPr>
      <w:rFonts w:ascii="Times New Roman" w:eastAsia="Times New Roman" w:hAnsi="Times New Roman" w:cs="Times New Roman"/>
      <w:bCs/>
      <w:color w:val="FF0000"/>
      <w:sz w:val="24"/>
      <w:szCs w:val="24"/>
      <w:lang w:val="es-ES" w:eastAsia="es-ES_tradnl"/>
    </w:rPr>
  </w:style>
  <w:style w:type="character" w:customStyle="1" w:styleId="CorpotestoCarattere">
    <w:name w:val="Corpo testo Carattere"/>
    <w:basedOn w:val="Carpredefinitoparagrafo"/>
    <w:link w:val="Corpotesto"/>
    <w:rsid w:val="00F85E4E"/>
    <w:rPr>
      <w:rFonts w:ascii="Times New Roman" w:eastAsia="Times New Roman" w:hAnsi="Times New Roman" w:cs="Times New Roman"/>
      <w:bCs/>
      <w:color w:val="FF0000"/>
      <w:sz w:val="24"/>
      <w:szCs w:val="24"/>
      <w:lang w:val="es-ES" w:eastAsia="es-ES_tradnl"/>
    </w:rPr>
  </w:style>
  <w:style w:type="paragraph" w:styleId="Corpodeltesto2">
    <w:name w:val="Body Text 2"/>
    <w:basedOn w:val="Normale"/>
    <w:link w:val="Corpodeltesto2Carattere"/>
    <w:rsid w:val="00F85E4E"/>
    <w:pPr>
      <w:jc w:val="both"/>
    </w:pPr>
    <w:rPr>
      <w:rFonts w:ascii="Times New Roman" w:eastAsia="Times New Roman" w:hAnsi="Times New Roman" w:cs="Times New Roman"/>
      <w:b/>
      <w:bCs/>
      <w:szCs w:val="24"/>
      <w:lang w:val="es-ES_tradnl" w:eastAsia="es-ES_tradnl"/>
    </w:rPr>
  </w:style>
  <w:style w:type="character" w:customStyle="1" w:styleId="Corpodeltesto2Carattere">
    <w:name w:val="Corpo del testo 2 Carattere"/>
    <w:basedOn w:val="Carpredefinitoparagrafo"/>
    <w:link w:val="Corpodeltesto2"/>
    <w:rsid w:val="00F85E4E"/>
    <w:rPr>
      <w:rFonts w:ascii="Times New Roman" w:eastAsia="Times New Roman" w:hAnsi="Times New Roman" w:cs="Times New Roman"/>
      <w:b/>
      <w:bCs/>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96833">
      <w:bodyDiv w:val="1"/>
      <w:marLeft w:val="0"/>
      <w:marRight w:val="0"/>
      <w:marTop w:val="0"/>
      <w:marBottom w:val="0"/>
      <w:divBdr>
        <w:top w:val="none" w:sz="0" w:space="0" w:color="auto"/>
        <w:left w:val="none" w:sz="0" w:space="0" w:color="auto"/>
        <w:bottom w:val="none" w:sz="0" w:space="0" w:color="auto"/>
        <w:right w:val="none" w:sz="0" w:space="0" w:color="auto"/>
      </w:divBdr>
    </w:div>
    <w:div w:id="609049948">
      <w:bodyDiv w:val="1"/>
      <w:marLeft w:val="0"/>
      <w:marRight w:val="0"/>
      <w:marTop w:val="0"/>
      <w:marBottom w:val="0"/>
      <w:divBdr>
        <w:top w:val="none" w:sz="0" w:space="0" w:color="auto"/>
        <w:left w:val="none" w:sz="0" w:space="0" w:color="auto"/>
        <w:bottom w:val="none" w:sz="0" w:space="0" w:color="auto"/>
        <w:right w:val="none" w:sz="0" w:space="0" w:color="auto"/>
      </w:divBdr>
    </w:div>
    <w:div w:id="1045759782">
      <w:bodyDiv w:val="1"/>
      <w:marLeft w:val="0"/>
      <w:marRight w:val="0"/>
      <w:marTop w:val="0"/>
      <w:marBottom w:val="0"/>
      <w:divBdr>
        <w:top w:val="none" w:sz="0" w:space="0" w:color="auto"/>
        <w:left w:val="none" w:sz="0" w:space="0" w:color="auto"/>
        <w:bottom w:val="none" w:sz="0" w:space="0" w:color="auto"/>
        <w:right w:val="none" w:sz="0" w:space="0" w:color="auto"/>
      </w:divBdr>
      <w:divsChild>
        <w:div w:id="398673089">
          <w:marLeft w:val="0"/>
          <w:marRight w:val="0"/>
          <w:marTop w:val="150"/>
          <w:marBottom w:val="150"/>
          <w:divBdr>
            <w:top w:val="none" w:sz="0" w:space="0" w:color="auto"/>
            <w:left w:val="none" w:sz="0" w:space="0" w:color="auto"/>
            <w:bottom w:val="none" w:sz="0" w:space="0" w:color="auto"/>
            <w:right w:val="none" w:sz="0" w:space="0" w:color="auto"/>
          </w:divBdr>
        </w:div>
      </w:divsChild>
    </w:div>
    <w:div w:id="1322732879">
      <w:bodyDiv w:val="1"/>
      <w:marLeft w:val="0"/>
      <w:marRight w:val="0"/>
      <w:marTop w:val="0"/>
      <w:marBottom w:val="0"/>
      <w:divBdr>
        <w:top w:val="none" w:sz="0" w:space="0" w:color="auto"/>
        <w:left w:val="none" w:sz="0" w:space="0" w:color="auto"/>
        <w:bottom w:val="none" w:sz="0" w:space="0" w:color="auto"/>
        <w:right w:val="none" w:sz="0" w:space="0" w:color="auto"/>
      </w:divBdr>
    </w:div>
    <w:div w:id="1423330096">
      <w:bodyDiv w:val="1"/>
      <w:marLeft w:val="0"/>
      <w:marRight w:val="0"/>
      <w:marTop w:val="0"/>
      <w:marBottom w:val="0"/>
      <w:divBdr>
        <w:top w:val="none" w:sz="0" w:space="0" w:color="auto"/>
        <w:left w:val="none" w:sz="0" w:space="0" w:color="auto"/>
        <w:bottom w:val="none" w:sz="0" w:space="0" w:color="auto"/>
        <w:right w:val="none" w:sz="0" w:space="0" w:color="auto"/>
      </w:divBdr>
    </w:div>
    <w:div w:id="1437872418">
      <w:bodyDiv w:val="1"/>
      <w:marLeft w:val="0"/>
      <w:marRight w:val="0"/>
      <w:marTop w:val="0"/>
      <w:marBottom w:val="0"/>
      <w:divBdr>
        <w:top w:val="none" w:sz="0" w:space="0" w:color="auto"/>
        <w:left w:val="none" w:sz="0" w:space="0" w:color="auto"/>
        <w:bottom w:val="none" w:sz="0" w:space="0" w:color="auto"/>
        <w:right w:val="none" w:sz="0" w:space="0" w:color="auto"/>
      </w:divBdr>
    </w:div>
    <w:div w:id="1579822276">
      <w:bodyDiv w:val="1"/>
      <w:marLeft w:val="0"/>
      <w:marRight w:val="0"/>
      <w:marTop w:val="0"/>
      <w:marBottom w:val="0"/>
      <w:divBdr>
        <w:top w:val="none" w:sz="0" w:space="0" w:color="auto"/>
        <w:left w:val="none" w:sz="0" w:space="0" w:color="auto"/>
        <w:bottom w:val="none" w:sz="0" w:space="0" w:color="auto"/>
        <w:right w:val="none" w:sz="0" w:space="0" w:color="auto"/>
      </w:divBdr>
    </w:div>
    <w:div w:id="1606576794">
      <w:bodyDiv w:val="1"/>
      <w:marLeft w:val="0"/>
      <w:marRight w:val="0"/>
      <w:marTop w:val="0"/>
      <w:marBottom w:val="0"/>
      <w:divBdr>
        <w:top w:val="none" w:sz="0" w:space="0" w:color="auto"/>
        <w:left w:val="none" w:sz="0" w:space="0" w:color="auto"/>
        <w:bottom w:val="none" w:sz="0" w:space="0" w:color="auto"/>
        <w:right w:val="none" w:sz="0" w:space="0" w:color="auto"/>
      </w:divBdr>
    </w:div>
    <w:div w:id="1647512078">
      <w:bodyDiv w:val="1"/>
      <w:marLeft w:val="0"/>
      <w:marRight w:val="0"/>
      <w:marTop w:val="0"/>
      <w:marBottom w:val="0"/>
      <w:divBdr>
        <w:top w:val="none" w:sz="0" w:space="0" w:color="auto"/>
        <w:left w:val="none" w:sz="0" w:space="0" w:color="auto"/>
        <w:bottom w:val="none" w:sz="0" w:space="0" w:color="auto"/>
        <w:right w:val="none" w:sz="0" w:space="0" w:color="auto"/>
      </w:divBdr>
    </w:div>
    <w:div w:id="2068844931">
      <w:bodyDiv w:val="1"/>
      <w:marLeft w:val="0"/>
      <w:marRight w:val="0"/>
      <w:marTop w:val="0"/>
      <w:marBottom w:val="0"/>
      <w:divBdr>
        <w:top w:val="none" w:sz="0" w:space="0" w:color="auto"/>
        <w:left w:val="none" w:sz="0" w:space="0" w:color="auto"/>
        <w:bottom w:val="none" w:sz="0" w:space="0" w:color="auto"/>
        <w:right w:val="none" w:sz="0" w:space="0" w:color="auto"/>
      </w:divBdr>
    </w:div>
    <w:div w:id="2069956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575</Words>
  <Characters>3282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6</cp:revision>
  <cp:lastPrinted>2023-08-31T13:14:00Z</cp:lastPrinted>
  <dcterms:created xsi:type="dcterms:W3CDTF">2023-11-08T12:08:00Z</dcterms:created>
  <dcterms:modified xsi:type="dcterms:W3CDTF">2023-11-08T13:36:00Z</dcterms:modified>
</cp:coreProperties>
</file>