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58124" w14:textId="77777777" w:rsidR="004D2A9C" w:rsidRDefault="004D2A9C" w:rsidP="004D2A9C">
      <w:pPr>
        <w:spacing w:after="0" w:line="240" w:lineRule="auto"/>
        <w:jc w:val="center"/>
        <w:rPr>
          <w:rFonts w:ascii="Arial" w:hAnsi="Arial" w:cs="Arial"/>
          <w:b/>
          <w:bCs/>
          <w:color w:val="auto"/>
          <w:sz w:val="24"/>
          <w:szCs w:val="24"/>
          <w:u w:val="single"/>
        </w:rPr>
      </w:pPr>
    </w:p>
    <w:p w14:paraId="723205BC" w14:textId="77777777" w:rsidR="004D2A9C" w:rsidRDefault="004D2A9C" w:rsidP="00A01C13">
      <w:pPr>
        <w:spacing w:after="0" w:line="240" w:lineRule="auto"/>
        <w:jc w:val="center"/>
        <w:rPr>
          <w:rFonts w:ascii="Arial" w:hAnsi="Arial" w:cs="Arial"/>
          <w:b/>
          <w:bCs/>
          <w:color w:val="auto"/>
          <w:sz w:val="24"/>
          <w:szCs w:val="24"/>
          <w:u w:val="single"/>
        </w:rPr>
      </w:pPr>
    </w:p>
    <w:p w14:paraId="25823658" w14:textId="05EAF7F9" w:rsidR="00A01C13" w:rsidRPr="00A01C13" w:rsidRDefault="00A01C13" w:rsidP="00A01C13">
      <w:pPr>
        <w:pStyle w:val="xmsonormal0"/>
        <w:shd w:val="clear" w:color="auto" w:fill="FFFFFF"/>
        <w:jc w:val="center"/>
        <w:rPr>
          <w:color w:val="000000"/>
          <w:sz w:val="24"/>
          <w:szCs w:val="24"/>
        </w:rPr>
      </w:pPr>
      <w:r w:rsidRPr="00A01C13">
        <w:rPr>
          <w:rFonts w:ascii="Arial" w:hAnsi="Arial" w:cs="Arial"/>
          <w:b/>
          <w:bCs/>
          <w:color w:val="000000"/>
          <w:sz w:val="24"/>
          <w:szCs w:val="24"/>
          <w:u w:val="single"/>
          <w:bdr w:val="none" w:sz="0" w:space="0" w:color="auto" w:frame="1"/>
        </w:rPr>
        <w:t>Comunicato stampa</w:t>
      </w:r>
    </w:p>
    <w:p w14:paraId="0F6B8AE4" w14:textId="2237AE27" w:rsidR="00A01C13" w:rsidRPr="00A01C13" w:rsidRDefault="00A01C13" w:rsidP="00A01C13">
      <w:pPr>
        <w:pStyle w:val="xmsonormal0"/>
        <w:shd w:val="clear" w:color="auto" w:fill="FFFFFF"/>
        <w:jc w:val="center"/>
        <w:rPr>
          <w:color w:val="000000"/>
          <w:sz w:val="24"/>
          <w:szCs w:val="24"/>
        </w:rPr>
      </w:pPr>
    </w:p>
    <w:p w14:paraId="2BBBF3CB" w14:textId="7D444204" w:rsidR="00A01C13" w:rsidRPr="00A01C13" w:rsidRDefault="00A01C13" w:rsidP="00A01C13">
      <w:pPr>
        <w:pStyle w:val="xmsonormal1"/>
        <w:shd w:val="clear" w:color="auto" w:fill="FFFFFF"/>
        <w:jc w:val="center"/>
        <w:rPr>
          <w:rFonts w:ascii="Times New Roman" w:hAnsi="Times New Roman" w:cs="Times New Roman"/>
          <w:color w:val="000000"/>
          <w:sz w:val="24"/>
          <w:szCs w:val="24"/>
        </w:rPr>
      </w:pPr>
      <w:r w:rsidRPr="00A01C13">
        <w:rPr>
          <w:rStyle w:val="contentpasted0"/>
          <w:rFonts w:ascii="Arial" w:hAnsi="Arial" w:cs="Arial"/>
          <w:b/>
          <w:bCs/>
          <w:color w:val="242424"/>
          <w:sz w:val="24"/>
          <w:szCs w:val="24"/>
          <w:bdr w:val="none" w:sz="0" w:space="0" w:color="auto" w:frame="1"/>
        </w:rPr>
        <w:t>DEFINIZIONE AGEVOLATA DELLE LITI PENDENTI, DOCUMENTO CNDCEC - FNC</w:t>
      </w:r>
    </w:p>
    <w:p w14:paraId="6484779A" w14:textId="3EA580D9" w:rsidR="00A01C13" w:rsidRPr="00A01C13" w:rsidRDefault="00A01C13" w:rsidP="00A01C13">
      <w:pPr>
        <w:pStyle w:val="xmsonormal1"/>
        <w:shd w:val="clear" w:color="auto" w:fill="FFFFFF"/>
        <w:jc w:val="center"/>
        <w:rPr>
          <w:rFonts w:ascii="Times New Roman" w:hAnsi="Times New Roman" w:cs="Times New Roman"/>
          <w:color w:val="000000"/>
          <w:sz w:val="24"/>
          <w:szCs w:val="24"/>
        </w:rPr>
      </w:pPr>
    </w:p>
    <w:p w14:paraId="48ED4C60" w14:textId="6E4CE629" w:rsidR="00A01C13" w:rsidRPr="00A01C13" w:rsidRDefault="00A01C13" w:rsidP="00A01C13">
      <w:pPr>
        <w:shd w:val="clear" w:color="auto" w:fill="FFFFFF"/>
        <w:spacing w:after="0" w:line="240" w:lineRule="auto"/>
        <w:jc w:val="center"/>
        <w:rPr>
          <w:rFonts w:ascii="Calibri" w:hAnsi="Calibri" w:cs="Calibri"/>
          <w:color w:val="000000"/>
          <w:sz w:val="24"/>
          <w:szCs w:val="24"/>
        </w:rPr>
      </w:pPr>
      <w:r w:rsidRPr="00A01C13">
        <w:rPr>
          <w:rFonts w:ascii="Arial" w:eastAsia="Times New Roman" w:hAnsi="Arial" w:cs="Arial"/>
          <w:b/>
          <w:bCs/>
          <w:color w:val="242424"/>
          <w:sz w:val="24"/>
          <w:szCs w:val="24"/>
          <w:bdr w:val="none" w:sz="0" w:space="0" w:color="auto" w:frame="1"/>
        </w:rPr>
        <w:t>Analisi della normativa e spunti </w:t>
      </w:r>
      <w:r w:rsidRPr="00A01C13">
        <w:rPr>
          <w:rFonts w:ascii="Arial" w:eastAsia="Times New Roman" w:hAnsi="Arial" w:cs="Arial"/>
          <w:b/>
          <w:bCs/>
          <w:color w:val="242424"/>
          <w:sz w:val="24"/>
          <w:szCs w:val="24"/>
          <w:bdr w:val="none" w:sz="0" w:space="0" w:color="auto" w:frame="1"/>
          <w:shd w:val="clear" w:color="auto" w:fill="FFFFFF"/>
        </w:rPr>
        <w:t>sulla sua interpretazione e sulla gestione dei giudizi in corso</w:t>
      </w:r>
    </w:p>
    <w:p w14:paraId="5297DB43" w14:textId="77777777" w:rsidR="00A01C13" w:rsidRPr="00A01C13" w:rsidRDefault="00A01C13" w:rsidP="00A01C13">
      <w:pPr>
        <w:pStyle w:val="xmsonormal1"/>
        <w:shd w:val="clear" w:color="auto" w:fill="FFFFFF"/>
        <w:jc w:val="both"/>
        <w:rPr>
          <w:rFonts w:ascii="Times New Roman" w:hAnsi="Times New Roman" w:cs="Times New Roman"/>
          <w:color w:val="000000"/>
          <w:sz w:val="24"/>
          <w:szCs w:val="24"/>
        </w:rPr>
      </w:pPr>
      <w:r w:rsidRPr="00A01C13">
        <w:rPr>
          <w:rStyle w:val="contentpasted0"/>
          <w:rFonts w:ascii="Arial" w:hAnsi="Arial" w:cs="Arial"/>
          <w:b/>
          <w:bCs/>
          <w:color w:val="242424"/>
          <w:sz w:val="24"/>
          <w:szCs w:val="24"/>
          <w:bdr w:val="none" w:sz="0" w:space="0" w:color="auto" w:frame="1"/>
        </w:rPr>
        <w:t> </w:t>
      </w:r>
      <w:r w:rsidRPr="00A01C13">
        <w:rPr>
          <w:b/>
          <w:bCs/>
          <w:color w:val="242424"/>
          <w:sz w:val="24"/>
          <w:szCs w:val="24"/>
        </w:rPr>
        <w:t> </w:t>
      </w:r>
    </w:p>
    <w:p w14:paraId="52280187" w14:textId="77777777" w:rsidR="00A01C13" w:rsidRDefault="00A01C13" w:rsidP="00A01C13">
      <w:pPr>
        <w:pStyle w:val="xmsonormal1"/>
        <w:shd w:val="clear" w:color="auto" w:fill="FFFFFF"/>
        <w:jc w:val="both"/>
        <w:rPr>
          <w:rStyle w:val="contentpasted0"/>
          <w:rFonts w:ascii="Arial" w:hAnsi="Arial" w:cs="Arial"/>
          <w:b/>
          <w:bCs/>
          <w:color w:val="242424"/>
          <w:sz w:val="24"/>
          <w:szCs w:val="24"/>
          <w:bdr w:val="none" w:sz="0" w:space="0" w:color="auto" w:frame="1"/>
        </w:rPr>
      </w:pPr>
      <w:r w:rsidRPr="00A01C13">
        <w:rPr>
          <w:rStyle w:val="contentpasted0"/>
          <w:rFonts w:ascii="Arial" w:hAnsi="Arial" w:cs="Arial"/>
          <w:b/>
          <w:bCs/>
          <w:color w:val="242424"/>
          <w:sz w:val="24"/>
          <w:szCs w:val="24"/>
          <w:bdr w:val="none" w:sz="0" w:space="0" w:color="auto" w:frame="1"/>
        </w:rPr>
        <w:t> </w:t>
      </w:r>
    </w:p>
    <w:p w14:paraId="2ADD3F6B" w14:textId="77777777" w:rsidR="00A01C13" w:rsidRDefault="00A01C13" w:rsidP="00A01C13">
      <w:pPr>
        <w:pStyle w:val="xmsonormal1"/>
        <w:shd w:val="clear" w:color="auto" w:fill="FFFFFF"/>
        <w:jc w:val="both"/>
        <w:rPr>
          <w:rStyle w:val="contentpasted0"/>
          <w:rFonts w:ascii="Arial" w:hAnsi="Arial" w:cs="Arial"/>
          <w:b/>
          <w:bCs/>
          <w:color w:val="242424"/>
          <w:sz w:val="24"/>
          <w:szCs w:val="24"/>
          <w:bdr w:val="none" w:sz="0" w:space="0" w:color="auto" w:frame="1"/>
        </w:rPr>
      </w:pPr>
    </w:p>
    <w:p w14:paraId="376B1612" w14:textId="63CF82E4" w:rsidR="00A01C13" w:rsidRPr="00A01C13" w:rsidRDefault="00A01C13" w:rsidP="00A01C13">
      <w:pPr>
        <w:pStyle w:val="xmsonormal1"/>
        <w:shd w:val="clear" w:color="auto" w:fill="FFFFFF"/>
        <w:jc w:val="both"/>
        <w:rPr>
          <w:rFonts w:ascii="Times New Roman" w:hAnsi="Times New Roman" w:cs="Times New Roman"/>
          <w:color w:val="000000"/>
          <w:sz w:val="24"/>
          <w:szCs w:val="24"/>
        </w:rPr>
      </w:pPr>
      <w:r w:rsidRPr="00A01C13">
        <w:rPr>
          <w:rStyle w:val="contentpasted0"/>
          <w:rFonts w:ascii="Arial" w:hAnsi="Arial" w:cs="Arial"/>
          <w:i/>
          <w:iCs/>
          <w:color w:val="242424"/>
          <w:sz w:val="24"/>
          <w:szCs w:val="24"/>
          <w:bdr w:val="none" w:sz="0" w:space="0" w:color="auto" w:frame="1"/>
        </w:rPr>
        <w:t>Roma, 8 marzo 2023 –</w:t>
      </w:r>
      <w:r w:rsidRPr="00A01C13">
        <w:rPr>
          <w:rStyle w:val="contentpasted0"/>
          <w:rFonts w:ascii="Arial" w:hAnsi="Arial" w:cs="Arial"/>
          <w:color w:val="242424"/>
          <w:sz w:val="24"/>
          <w:szCs w:val="24"/>
          <w:bdr w:val="none" w:sz="0" w:space="0" w:color="auto" w:frame="1"/>
        </w:rPr>
        <w:t xml:space="preserve"> La legge di bilancio 2023 (L. 29 dicembre 2022, n. 197) all’articolo 1, commi da 186 a 205, ha introdotto una nuova definizione agevolata delle controversie tributarie, pendenti al 1° gennaio 2023 in ogni stato e grado del giudizio, proposte nei confronti dell’Agenzia delle entrate, dell’Agenzia delle dogane e dei monopoli e degli enti territoriali che vi aderiranno entro il 31 marzo 2023.</w:t>
      </w:r>
      <w:r w:rsidRPr="00A01C13">
        <w:rPr>
          <w:color w:val="242424"/>
          <w:sz w:val="24"/>
          <w:szCs w:val="24"/>
        </w:rPr>
        <w:t> </w:t>
      </w:r>
    </w:p>
    <w:p w14:paraId="223A77A6" w14:textId="77777777" w:rsidR="00A01C13" w:rsidRPr="00A01C13" w:rsidRDefault="00A01C13" w:rsidP="00A01C13">
      <w:pPr>
        <w:pStyle w:val="xmsonormal1"/>
        <w:shd w:val="clear" w:color="auto" w:fill="FFFFFF"/>
        <w:jc w:val="both"/>
        <w:rPr>
          <w:rFonts w:ascii="Times New Roman" w:hAnsi="Times New Roman" w:cs="Times New Roman"/>
          <w:color w:val="000000"/>
          <w:sz w:val="24"/>
          <w:szCs w:val="24"/>
        </w:rPr>
      </w:pPr>
      <w:r w:rsidRPr="00A01C13">
        <w:rPr>
          <w:rStyle w:val="contentpasted0"/>
          <w:rFonts w:ascii="Arial" w:hAnsi="Arial" w:cs="Arial"/>
          <w:color w:val="242424"/>
          <w:sz w:val="24"/>
          <w:szCs w:val="24"/>
          <w:bdr w:val="none" w:sz="0" w:space="0" w:color="auto" w:frame="1"/>
        </w:rPr>
        <w:t> </w:t>
      </w:r>
    </w:p>
    <w:p w14:paraId="380CDD3E" w14:textId="3FFF987D" w:rsidR="00A01C13" w:rsidRPr="00A01C13" w:rsidRDefault="00A01C13" w:rsidP="00A01C13">
      <w:pPr>
        <w:pStyle w:val="xmsonormal1"/>
        <w:shd w:val="clear" w:color="auto" w:fill="FFFFFF"/>
        <w:jc w:val="both"/>
        <w:rPr>
          <w:rFonts w:ascii="Times New Roman" w:hAnsi="Times New Roman" w:cs="Times New Roman"/>
          <w:color w:val="000000"/>
          <w:sz w:val="24"/>
          <w:szCs w:val="24"/>
        </w:rPr>
      </w:pPr>
      <w:r w:rsidRPr="00A01C13">
        <w:rPr>
          <w:rStyle w:val="contentpasted0"/>
          <w:rFonts w:ascii="Arial" w:hAnsi="Arial" w:cs="Arial"/>
          <w:color w:val="242424"/>
          <w:sz w:val="24"/>
          <w:szCs w:val="24"/>
          <w:bdr w:val="none" w:sz="0" w:space="0" w:color="auto" w:frame="1"/>
        </w:rPr>
        <w:t xml:space="preserve">In un documento pubblicato oggi, </w:t>
      </w:r>
      <w:r>
        <w:rPr>
          <w:rStyle w:val="contentpasted0"/>
          <w:rFonts w:ascii="Arial" w:hAnsi="Arial" w:cs="Arial"/>
          <w:color w:val="242424"/>
          <w:sz w:val="24"/>
          <w:szCs w:val="24"/>
          <w:bdr w:val="none" w:sz="0" w:space="0" w:color="auto" w:frame="1"/>
        </w:rPr>
        <w:t xml:space="preserve">il </w:t>
      </w:r>
      <w:r w:rsidRPr="00A01C13">
        <w:rPr>
          <w:rStyle w:val="contentpasted0"/>
          <w:rFonts w:ascii="Arial" w:hAnsi="Arial" w:cs="Arial"/>
          <w:color w:val="242424"/>
          <w:sz w:val="24"/>
          <w:szCs w:val="24"/>
          <w:bdr w:val="none" w:sz="0" w:space="0" w:color="auto" w:frame="1"/>
        </w:rPr>
        <w:t>Consiglio e la Fondazione nazionali dei commercialisti analizzano il contenuto della normativa e la sua applicazione pratica, fornendo utili spunti di riflessione sull'interpretazione della disciplina e la gestione dei giudizi in corso. Lo studio, inoltre, tiene conto della prassi pubblicata all’indomani dell’entrata in vigore della legge, a cominciare da quella dell’Agenzia delle entrate, e opera gli opportuni raffronti con il precedente, analogo istituto previsto dalla “pace fiscale” del 2018.</w:t>
      </w:r>
      <w:r w:rsidRPr="00A01C13">
        <w:rPr>
          <w:color w:val="242424"/>
          <w:sz w:val="24"/>
          <w:szCs w:val="24"/>
        </w:rPr>
        <w:t> </w:t>
      </w:r>
    </w:p>
    <w:p w14:paraId="6090675E" w14:textId="77777777" w:rsidR="00A01C13" w:rsidRPr="00A01C13" w:rsidRDefault="00A01C13" w:rsidP="00A01C13">
      <w:pPr>
        <w:pStyle w:val="xmsonormal1"/>
        <w:shd w:val="clear" w:color="auto" w:fill="FFFFFF"/>
        <w:jc w:val="both"/>
        <w:rPr>
          <w:rFonts w:ascii="Times New Roman" w:hAnsi="Times New Roman" w:cs="Times New Roman"/>
          <w:color w:val="000000"/>
          <w:sz w:val="24"/>
          <w:szCs w:val="24"/>
        </w:rPr>
      </w:pPr>
      <w:r w:rsidRPr="00A01C13">
        <w:rPr>
          <w:rStyle w:val="contentpasted0"/>
          <w:rFonts w:ascii="Arial" w:hAnsi="Arial" w:cs="Arial"/>
          <w:color w:val="242424"/>
          <w:sz w:val="24"/>
          <w:szCs w:val="24"/>
          <w:bdr w:val="none" w:sz="0" w:space="0" w:color="auto" w:frame="1"/>
        </w:rPr>
        <w:t> </w:t>
      </w:r>
      <w:r w:rsidRPr="00A01C13">
        <w:rPr>
          <w:color w:val="242424"/>
          <w:sz w:val="24"/>
          <w:szCs w:val="24"/>
        </w:rPr>
        <w:t> </w:t>
      </w:r>
    </w:p>
    <w:p w14:paraId="1EDA64CE" w14:textId="77777777" w:rsidR="00A01C13" w:rsidRPr="00A01C13" w:rsidRDefault="00A01C13" w:rsidP="00A01C13">
      <w:pPr>
        <w:pStyle w:val="xmsonormal1"/>
        <w:shd w:val="clear" w:color="auto" w:fill="FFFFFF"/>
        <w:jc w:val="both"/>
        <w:rPr>
          <w:rFonts w:ascii="Times New Roman" w:hAnsi="Times New Roman" w:cs="Times New Roman"/>
          <w:color w:val="000000"/>
          <w:sz w:val="24"/>
          <w:szCs w:val="24"/>
        </w:rPr>
      </w:pPr>
      <w:r w:rsidRPr="00A01C13">
        <w:rPr>
          <w:rStyle w:val="contentpasted0"/>
          <w:rFonts w:ascii="Arial" w:hAnsi="Arial" w:cs="Arial"/>
          <w:color w:val="242424"/>
          <w:sz w:val="24"/>
          <w:szCs w:val="24"/>
          <w:bdr w:val="none" w:sz="0" w:space="0" w:color="auto" w:frame="1"/>
        </w:rPr>
        <w:t>La norma, come precisato nella Relazione illustrativa, ricalca lo schema contenuto nella precedente definizione agevolata contenuta nell’articolo 6 del decreto legge 23 ottobre 2018, n. 119 sulla c.d. “pace fiscale”, differenziandosene essenzialmente sotto due rilevanti profili: il primo, rappresentato dal venir meno del riferimento all’atto impositivo quale requisito di carattere oggettivo per la definizione, per cui la nuova “tregua fiscale” riguarda tutte le controversie tributarie in quanto tali (la norma, a differenza della relazione illustrativa, non contiene alcun riferimento agli atti impositivi); il secondo, rappresentato dall’estensione della definizione agevolata alle controversie contro l’Agenzia delle dogane e dei monopoli, con riferimento ai tributi da questa amministrati.</w:t>
      </w:r>
      <w:r w:rsidRPr="00A01C13">
        <w:rPr>
          <w:color w:val="242424"/>
          <w:sz w:val="24"/>
          <w:szCs w:val="24"/>
        </w:rPr>
        <w:t> </w:t>
      </w:r>
    </w:p>
    <w:p w14:paraId="3B59FCA4" w14:textId="77777777" w:rsidR="00A01C13" w:rsidRPr="00A01C13" w:rsidRDefault="00A01C13" w:rsidP="00A01C13">
      <w:pPr>
        <w:pStyle w:val="xmsonormal1"/>
        <w:shd w:val="clear" w:color="auto" w:fill="FFFFFF"/>
        <w:jc w:val="both"/>
        <w:rPr>
          <w:rFonts w:ascii="Times New Roman" w:hAnsi="Times New Roman" w:cs="Times New Roman"/>
          <w:color w:val="000000"/>
          <w:sz w:val="24"/>
          <w:szCs w:val="24"/>
        </w:rPr>
      </w:pPr>
      <w:r w:rsidRPr="00A01C13">
        <w:rPr>
          <w:rStyle w:val="contentpasted0"/>
          <w:rFonts w:ascii="Arial" w:hAnsi="Arial" w:cs="Arial"/>
          <w:color w:val="242424"/>
          <w:sz w:val="24"/>
          <w:szCs w:val="24"/>
          <w:bdr w:val="none" w:sz="0" w:space="0" w:color="auto" w:frame="1"/>
        </w:rPr>
        <w:t> </w:t>
      </w:r>
      <w:r w:rsidRPr="00A01C13">
        <w:rPr>
          <w:color w:val="242424"/>
          <w:sz w:val="24"/>
          <w:szCs w:val="24"/>
        </w:rPr>
        <w:t> </w:t>
      </w:r>
    </w:p>
    <w:p w14:paraId="063DF633" w14:textId="77777777" w:rsidR="00A01C13" w:rsidRPr="00A01C13" w:rsidRDefault="00A01C13" w:rsidP="00A01C13">
      <w:pPr>
        <w:pStyle w:val="xmsonormal1"/>
        <w:shd w:val="clear" w:color="auto" w:fill="FFFFFF"/>
        <w:jc w:val="both"/>
        <w:rPr>
          <w:rFonts w:ascii="Times New Roman" w:hAnsi="Times New Roman" w:cs="Times New Roman"/>
          <w:color w:val="000000"/>
          <w:sz w:val="24"/>
          <w:szCs w:val="24"/>
        </w:rPr>
      </w:pPr>
      <w:r w:rsidRPr="00A01C13">
        <w:rPr>
          <w:rStyle w:val="contentpasted0"/>
          <w:rFonts w:ascii="Arial" w:hAnsi="Arial" w:cs="Arial"/>
          <w:color w:val="242424"/>
          <w:sz w:val="24"/>
          <w:szCs w:val="24"/>
          <w:bdr w:val="none" w:sz="0" w:space="0" w:color="auto" w:frame="1"/>
        </w:rPr>
        <w:t>Confermato, invece, il quantum dovuto, pari al valore della controversia, ovvero al 90%, 40% e 15% in caso – rispettivamente – di ricorso iscritto (e pendente) in primo grado, di soccombenza dell’Agenzia delle entrate in primo, ovvero in secondo grado, nell’ultima pronuncia, non definitiva, depositata alla data del 1° gennaio 2023.</w:t>
      </w:r>
      <w:r w:rsidRPr="00A01C13">
        <w:rPr>
          <w:color w:val="242424"/>
          <w:sz w:val="24"/>
          <w:szCs w:val="24"/>
        </w:rPr>
        <w:t> </w:t>
      </w:r>
    </w:p>
    <w:p w14:paraId="121AB51B" w14:textId="77777777" w:rsidR="00A01C13" w:rsidRPr="00A01C13" w:rsidRDefault="00A01C13" w:rsidP="00A01C13">
      <w:pPr>
        <w:pStyle w:val="xmsonormal0"/>
        <w:shd w:val="clear" w:color="auto" w:fill="FFFFFF"/>
        <w:jc w:val="both"/>
        <w:rPr>
          <w:color w:val="000000"/>
          <w:sz w:val="24"/>
          <w:szCs w:val="24"/>
        </w:rPr>
      </w:pPr>
      <w:r w:rsidRPr="00A01C13">
        <w:rPr>
          <w:rFonts w:ascii="Arial" w:eastAsia="Arial Narrow" w:hAnsi="Arial" w:cs="Arial"/>
          <w:color w:val="000000"/>
          <w:sz w:val="24"/>
          <w:szCs w:val="24"/>
        </w:rPr>
        <w:t> </w:t>
      </w:r>
    </w:p>
    <w:p w14:paraId="25A29797" w14:textId="77777777" w:rsidR="00A01C13" w:rsidRPr="00A01C13" w:rsidRDefault="00A01C13" w:rsidP="00A01C13">
      <w:pPr>
        <w:pStyle w:val="xmsonormal"/>
        <w:shd w:val="clear" w:color="auto" w:fill="FFFFFF"/>
        <w:jc w:val="both"/>
        <w:rPr>
          <w:color w:val="242424"/>
          <w:sz w:val="24"/>
          <w:szCs w:val="24"/>
        </w:rPr>
      </w:pPr>
    </w:p>
    <w:p w14:paraId="0D0B0DAF" w14:textId="77777777" w:rsidR="004D2A9C" w:rsidRPr="00A01C13" w:rsidRDefault="004D2A9C" w:rsidP="00A01C13">
      <w:pPr>
        <w:spacing w:after="0" w:line="240" w:lineRule="auto"/>
        <w:rPr>
          <w:rFonts w:ascii="Arial" w:hAnsi="Arial" w:cs="Arial"/>
          <w:color w:val="auto"/>
          <w:sz w:val="24"/>
          <w:szCs w:val="24"/>
        </w:rPr>
      </w:pPr>
    </w:p>
    <w:sectPr w:rsidR="004D2A9C" w:rsidRPr="00A01C1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4043" w14:textId="77777777" w:rsidR="00BE1322" w:rsidRDefault="00BE1322" w:rsidP="004D2A9C">
      <w:pPr>
        <w:spacing w:after="0" w:line="240" w:lineRule="auto"/>
      </w:pPr>
      <w:r>
        <w:separator/>
      </w:r>
    </w:p>
  </w:endnote>
  <w:endnote w:type="continuationSeparator" w:id="0">
    <w:p w14:paraId="210ADF3F" w14:textId="77777777" w:rsidR="00BE1322" w:rsidRDefault="00BE1322" w:rsidP="004D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4545" w14:textId="77777777" w:rsidR="00BE1322" w:rsidRDefault="00BE1322" w:rsidP="004D2A9C">
      <w:pPr>
        <w:spacing w:after="0" w:line="240" w:lineRule="auto"/>
      </w:pPr>
      <w:r>
        <w:separator/>
      </w:r>
    </w:p>
  </w:footnote>
  <w:footnote w:type="continuationSeparator" w:id="0">
    <w:p w14:paraId="00C23610" w14:textId="77777777" w:rsidR="00BE1322" w:rsidRDefault="00BE1322" w:rsidP="004D2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9D67" w14:textId="0D77DCEE" w:rsidR="004D2A9C" w:rsidRDefault="004D2A9C" w:rsidP="004D2A9C">
    <w:pPr>
      <w:pStyle w:val="Intestazione"/>
      <w:jc w:val="center"/>
    </w:pPr>
    <w:r>
      <w:rPr>
        <w:noProof/>
      </w:rPr>
      <w:drawing>
        <wp:inline distT="0" distB="0" distL="0" distR="0" wp14:anchorId="4A6348AA" wp14:editId="7AF9B8D0">
          <wp:extent cx="2552700" cy="867086"/>
          <wp:effectExtent l="0" t="0" r="0" b="9525"/>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636" cy="8741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9C"/>
    <w:rsid w:val="004A61CC"/>
    <w:rsid w:val="004D2A9C"/>
    <w:rsid w:val="007B7683"/>
    <w:rsid w:val="00A01C13"/>
    <w:rsid w:val="00A353CF"/>
    <w:rsid w:val="00BE13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2A76"/>
  <w15:chartTrackingRefBased/>
  <w15:docId w15:val="{D4CBEEB5-8BF2-42C8-AABC-81F7E94C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2A9C"/>
    <w:pPr>
      <w:spacing w:after="200" w:line="312" w:lineRule="auto"/>
      <w:jc w:val="both"/>
    </w:pPr>
    <w:rPr>
      <w:rFonts w:eastAsiaTheme="minorEastAsia"/>
      <w:color w:val="404040" w:themeColor="text1" w:themeTint="B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D2A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2A9C"/>
    <w:rPr>
      <w:rFonts w:eastAsiaTheme="minorEastAsia"/>
      <w:color w:val="404040" w:themeColor="text1" w:themeTint="BF"/>
      <w:szCs w:val="21"/>
    </w:rPr>
  </w:style>
  <w:style w:type="paragraph" w:styleId="Pidipagina">
    <w:name w:val="footer"/>
    <w:basedOn w:val="Normale"/>
    <w:link w:val="PidipaginaCarattere"/>
    <w:uiPriority w:val="99"/>
    <w:unhideWhenUsed/>
    <w:rsid w:val="004D2A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2A9C"/>
    <w:rPr>
      <w:rFonts w:eastAsiaTheme="minorEastAsia"/>
      <w:color w:val="404040" w:themeColor="text1" w:themeTint="BF"/>
      <w:szCs w:val="21"/>
    </w:rPr>
  </w:style>
  <w:style w:type="paragraph" w:customStyle="1" w:styleId="xmsonormal">
    <w:name w:val="x_msonormal"/>
    <w:basedOn w:val="Normale"/>
    <w:rsid w:val="00A01C13"/>
    <w:pPr>
      <w:spacing w:after="0" w:line="240" w:lineRule="auto"/>
      <w:jc w:val="left"/>
    </w:pPr>
    <w:rPr>
      <w:rFonts w:ascii="Calibri" w:eastAsiaTheme="minorHAnsi" w:hAnsi="Calibri" w:cs="Calibri"/>
      <w:color w:val="auto"/>
      <w:szCs w:val="22"/>
      <w:lang w:eastAsia="it-IT"/>
    </w:rPr>
  </w:style>
  <w:style w:type="paragraph" w:customStyle="1" w:styleId="xmsonormal0">
    <w:name w:val="xmsonormal0"/>
    <w:basedOn w:val="Normale"/>
    <w:rsid w:val="00A01C13"/>
    <w:pPr>
      <w:spacing w:after="0" w:line="240" w:lineRule="auto"/>
      <w:jc w:val="left"/>
    </w:pPr>
    <w:rPr>
      <w:rFonts w:ascii="Calibri" w:eastAsiaTheme="minorHAnsi" w:hAnsi="Calibri" w:cs="Calibri"/>
      <w:color w:val="auto"/>
      <w:szCs w:val="22"/>
      <w:lang w:eastAsia="it-IT"/>
    </w:rPr>
  </w:style>
  <w:style w:type="paragraph" w:customStyle="1" w:styleId="xmsonormal1">
    <w:name w:val="xmsonormal"/>
    <w:basedOn w:val="Normale"/>
    <w:rsid w:val="00A01C13"/>
    <w:pPr>
      <w:spacing w:after="0" w:line="240" w:lineRule="auto"/>
      <w:jc w:val="left"/>
    </w:pPr>
    <w:rPr>
      <w:rFonts w:ascii="Calibri" w:eastAsiaTheme="minorHAnsi" w:hAnsi="Calibri" w:cs="Calibri"/>
      <w:color w:val="auto"/>
      <w:szCs w:val="22"/>
      <w:lang w:eastAsia="it-IT"/>
    </w:rPr>
  </w:style>
  <w:style w:type="character" w:customStyle="1" w:styleId="contentpasted0">
    <w:name w:val="contentpasted0"/>
    <w:basedOn w:val="Carpredefinitoparagrafo"/>
    <w:rsid w:val="00A01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50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341</Words>
  <Characters>1949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dcterms:created xsi:type="dcterms:W3CDTF">2023-03-08T15:29:00Z</dcterms:created>
  <dcterms:modified xsi:type="dcterms:W3CDTF">2023-03-08T17:00:00Z</dcterms:modified>
</cp:coreProperties>
</file>