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6FFDCE16" w:rsidR="00321FE4" w:rsidRDefault="00321FE4" w:rsidP="009A3EB5">
      <w:pPr>
        <w:pStyle w:val="xmsonormal0"/>
        <w:shd w:val="clear" w:color="auto" w:fill="FFFFFF"/>
        <w:jc w:val="center"/>
        <w:rPr>
          <w:rFonts w:ascii="Arial" w:hAnsi="Arial" w:cs="Arial"/>
          <w:b/>
          <w:bCs/>
          <w:color w:val="000000"/>
          <w:sz w:val="24"/>
          <w:szCs w:val="24"/>
          <w:u w:val="single"/>
          <w:bdr w:val="none" w:sz="0" w:space="0" w:color="auto" w:frame="1"/>
        </w:rPr>
      </w:pPr>
      <w:bookmarkStart w:id="0" w:name="_Hlk114743328"/>
    </w:p>
    <w:p w14:paraId="76D812AE" w14:textId="77777777" w:rsidR="00FB43A6" w:rsidRDefault="00FB43A6" w:rsidP="009A3EB5">
      <w:pPr>
        <w:pStyle w:val="xmsonormal0"/>
        <w:shd w:val="clear" w:color="auto" w:fill="FFFFFF"/>
        <w:jc w:val="center"/>
        <w:rPr>
          <w:rFonts w:ascii="Arial" w:hAnsi="Arial" w:cs="Arial"/>
          <w:b/>
          <w:bCs/>
          <w:color w:val="000000"/>
          <w:sz w:val="24"/>
          <w:szCs w:val="24"/>
          <w:u w:val="single"/>
          <w:bdr w:val="none" w:sz="0" w:space="0" w:color="auto" w:frame="1"/>
        </w:rPr>
      </w:pPr>
    </w:p>
    <w:p w14:paraId="49C9E57E" w14:textId="5B9B7A87" w:rsidR="009A3EB5" w:rsidRPr="008B5C1D" w:rsidRDefault="009A3EB5" w:rsidP="009A3EB5">
      <w:pPr>
        <w:pStyle w:val="xmsonormal0"/>
        <w:shd w:val="clear" w:color="auto" w:fill="FFFFFF"/>
        <w:jc w:val="center"/>
        <w:rPr>
          <w:rFonts w:ascii="Times New Roman" w:hAnsi="Times New Roman" w:cs="Times New Roman"/>
          <w:color w:val="000000"/>
        </w:rPr>
      </w:pPr>
      <w:r w:rsidRPr="008B5C1D">
        <w:rPr>
          <w:rFonts w:ascii="Arial" w:hAnsi="Arial" w:cs="Arial"/>
          <w:b/>
          <w:bCs/>
          <w:color w:val="000000"/>
          <w:u w:val="single"/>
          <w:bdr w:val="none" w:sz="0" w:space="0" w:color="auto" w:frame="1"/>
        </w:rPr>
        <w:t>Comunicato stampa</w:t>
      </w:r>
      <w:r w:rsidRPr="008B5C1D">
        <w:rPr>
          <w:rFonts w:ascii="Times New Roman" w:hAnsi="Times New Roman" w:cs="Times New Roman"/>
          <w:color w:val="000000"/>
        </w:rPr>
        <w:t> </w:t>
      </w:r>
    </w:p>
    <w:p w14:paraId="76B8653B" w14:textId="29B2B917" w:rsidR="00262828" w:rsidRPr="008B5C1D" w:rsidRDefault="00262828" w:rsidP="009A3EB5">
      <w:pPr>
        <w:pStyle w:val="xmsonormal0"/>
        <w:shd w:val="clear" w:color="auto" w:fill="FFFFFF"/>
        <w:jc w:val="center"/>
        <w:rPr>
          <w:rFonts w:ascii="Times New Roman" w:hAnsi="Times New Roman" w:cs="Times New Roman"/>
          <w:color w:val="000000"/>
        </w:rPr>
      </w:pPr>
    </w:p>
    <w:p w14:paraId="79F241BC" w14:textId="3C2821CC" w:rsidR="00504C06" w:rsidRDefault="00504C06" w:rsidP="009A3EB5">
      <w:pPr>
        <w:pStyle w:val="xmsonormal0"/>
        <w:shd w:val="clear" w:color="auto" w:fill="FFFFFF"/>
        <w:jc w:val="center"/>
        <w:rPr>
          <w:rFonts w:ascii="Arial" w:hAnsi="Arial" w:cs="Arial"/>
          <w:b/>
          <w:bCs/>
          <w:color w:val="000000"/>
        </w:rPr>
      </w:pPr>
      <w:r w:rsidRPr="008B5C1D">
        <w:rPr>
          <w:rFonts w:ascii="Arial" w:hAnsi="Arial" w:cs="Arial"/>
          <w:b/>
          <w:bCs/>
          <w:color w:val="000000"/>
        </w:rPr>
        <w:t>FISCALITÀ DELLO SPORT E DEL TERZO SETTORE, LEO</w:t>
      </w:r>
      <w:r w:rsidR="005670A3" w:rsidRPr="008B5C1D">
        <w:rPr>
          <w:rFonts w:ascii="Arial" w:hAnsi="Arial" w:cs="Arial"/>
          <w:b/>
          <w:bCs/>
          <w:color w:val="000000"/>
        </w:rPr>
        <w:t xml:space="preserve"> INCONTRA</w:t>
      </w:r>
      <w:r w:rsidRPr="008B5C1D">
        <w:rPr>
          <w:rFonts w:ascii="Arial" w:hAnsi="Arial" w:cs="Arial"/>
          <w:b/>
          <w:bCs/>
          <w:color w:val="000000"/>
        </w:rPr>
        <w:t xml:space="preserve"> COMMERCIALISTI</w:t>
      </w:r>
      <w:r w:rsidR="005670A3" w:rsidRPr="008B5C1D">
        <w:rPr>
          <w:rFonts w:ascii="Arial" w:hAnsi="Arial" w:cs="Arial"/>
          <w:b/>
          <w:bCs/>
          <w:color w:val="000000"/>
        </w:rPr>
        <w:t xml:space="preserve"> E</w:t>
      </w:r>
      <w:r w:rsidRPr="008B5C1D">
        <w:rPr>
          <w:rFonts w:ascii="Arial" w:hAnsi="Arial" w:cs="Arial"/>
          <w:b/>
          <w:bCs/>
          <w:color w:val="000000"/>
        </w:rPr>
        <w:t xml:space="preserve"> </w:t>
      </w:r>
      <w:r w:rsidR="00FB43A6">
        <w:rPr>
          <w:rFonts w:ascii="Arial" w:hAnsi="Arial" w:cs="Arial"/>
          <w:b/>
          <w:bCs/>
          <w:color w:val="000000"/>
        </w:rPr>
        <w:t xml:space="preserve">NOTAI </w:t>
      </w:r>
    </w:p>
    <w:p w14:paraId="6AA55085" w14:textId="77777777" w:rsidR="00FB43A6" w:rsidRPr="008B5C1D" w:rsidRDefault="00FB43A6" w:rsidP="009A3EB5">
      <w:pPr>
        <w:pStyle w:val="xmsonormal0"/>
        <w:shd w:val="clear" w:color="auto" w:fill="FFFFFF"/>
        <w:jc w:val="center"/>
        <w:rPr>
          <w:rFonts w:ascii="Arial" w:hAnsi="Arial" w:cs="Arial"/>
          <w:color w:val="000000"/>
        </w:rPr>
      </w:pPr>
    </w:p>
    <w:p w14:paraId="30D35DD6" w14:textId="53ED7BA4" w:rsidR="00504C06" w:rsidRPr="00D84C41" w:rsidRDefault="00504C06" w:rsidP="009A3EB5">
      <w:pPr>
        <w:pStyle w:val="xmsonormal0"/>
        <w:shd w:val="clear" w:color="auto" w:fill="FFFFFF"/>
        <w:jc w:val="center"/>
        <w:rPr>
          <w:rFonts w:ascii="Arial" w:hAnsi="Arial" w:cs="Arial"/>
          <w:b/>
          <w:bCs/>
        </w:rPr>
      </w:pPr>
      <w:r w:rsidRPr="00D84C41">
        <w:rPr>
          <w:rFonts w:ascii="Arial" w:hAnsi="Arial" w:cs="Arial"/>
          <w:b/>
          <w:bCs/>
        </w:rPr>
        <w:t xml:space="preserve">Verso un tavolo tecnico con il Mef per individuare una definizione di norme interpretative consolidate e eventuali proposte emendative </w:t>
      </w:r>
    </w:p>
    <w:bookmarkEnd w:id="0"/>
    <w:p w14:paraId="04E807BA" w14:textId="77777777" w:rsidR="00443668" w:rsidRPr="008B5C1D" w:rsidRDefault="00443668" w:rsidP="00262828">
      <w:pPr>
        <w:jc w:val="both"/>
        <w:rPr>
          <w:rFonts w:ascii="Arial" w:hAnsi="Arial" w:cs="Arial"/>
          <w:b/>
          <w:bCs/>
        </w:rPr>
      </w:pPr>
    </w:p>
    <w:p w14:paraId="731007AD" w14:textId="39D60DD6" w:rsidR="00262828" w:rsidRPr="008B5C1D" w:rsidRDefault="00262828" w:rsidP="00262828">
      <w:pPr>
        <w:pStyle w:val="NormaleWeb"/>
        <w:shd w:val="clear" w:color="auto" w:fill="FFFFFF"/>
        <w:jc w:val="both"/>
        <w:textAlignment w:val="baseline"/>
        <w:rPr>
          <w:rFonts w:ascii="Arial" w:eastAsia="Times New Roman" w:hAnsi="Arial" w:cs="Arial"/>
          <w:color w:val="333333"/>
          <w:sz w:val="22"/>
          <w:szCs w:val="22"/>
        </w:rPr>
      </w:pPr>
      <w:r w:rsidRPr="008B5C1D">
        <w:rPr>
          <w:rFonts w:ascii="Arial" w:hAnsi="Arial" w:cs="Arial"/>
          <w:i/>
          <w:iCs/>
          <w:sz w:val="22"/>
          <w:szCs w:val="22"/>
        </w:rPr>
        <w:t>Roma, 8 marzo 2023 -</w:t>
      </w:r>
      <w:r w:rsidRPr="008B5C1D">
        <w:rPr>
          <w:rFonts w:ascii="Arial" w:hAnsi="Arial" w:cs="Arial"/>
          <w:sz w:val="22"/>
          <w:szCs w:val="22"/>
        </w:rPr>
        <w:t xml:space="preserve"> </w:t>
      </w:r>
      <w:r w:rsidRPr="008B5C1D">
        <w:rPr>
          <w:rFonts w:ascii="Arial" w:eastAsia="Times New Roman" w:hAnsi="Arial" w:cs="Arial"/>
          <w:color w:val="333333"/>
          <w:sz w:val="22"/>
          <w:szCs w:val="22"/>
        </w:rPr>
        <w:t xml:space="preserve">Il Consiglio Nazionale dei dottori commercialisti ed Esperti contabili (CNDCEC), insieme al Consiglio Nazionale del Notariato, ha incontrato oggi a Roma il Viceministro dell’Economia </w:t>
      </w:r>
      <w:r w:rsidRPr="008B5C1D">
        <w:rPr>
          <w:rFonts w:ascii="Arial" w:eastAsia="Times New Roman" w:hAnsi="Arial" w:cs="Arial"/>
          <w:b/>
          <w:bCs/>
          <w:color w:val="333333"/>
          <w:sz w:val="22"/>
          <w:szCs w:val="22"/>
        </w:rPr>
        <w:t>Maurizio Leo</w:t>
      </w:r>
      <w:r w:rsidRPr="008B5C1D">
        <w:rPr>
          <w:rFonts w:ascii="Arial" w:eastAsia="Times New Roman" w:hAnsi="Arial" w:cs="Arial"/>
          <w:b/>
          <w:bCs/>
          <w:color w:val="333333"/>
          <w:sz w:val="22"/>
          <w:szCs w:val="22"/>
          <w:bdr w:val="none" w:sz="0" w:space="0" w:color="auto" w:frame="1"/>
        </w:rPr>
        <w:t xml:space="preserve"> </w:t>
      </w:r>
      <w:r w:rsidRPr="008B5C1D">
        <w:rPr>
          <w:rFonts w:ascii="Arial" w:hAnsi="Arial" w:cs="Arial"/>
          <w:sz w:val="22"/>
          <w:szCs w:val="22"/>
        </w:rPr>
        <w:t>per esaminare le problematiche concernenti la fiscalità degli enti del Terzo settore e degli enti sportivi</w:t>
      </w:r>
      <w:r w:rsidRPr="008B5C1D">
        <w:rPr>
          <w:rFonts w:ascii="Arial" w:eastAsia="Times New Roman" w:hAnsi="Arial" w:cs="Arial"/>
          <w:color w:val="333333"/>
          <w:sz w:val="22"/>
          <w:szCs w:val="22"/>
        </w:rPr>
        <w:t>. All’incontro erano presenti il Vicepresidente e il consigliere nazionale dei Commercialisti, entrambi delegati al Terzo settore </w:t>
      </w:r>
      <w:r w:rsidRPr="008B5C1D">
        <w:rPr>
          <w:rFonts w:ascii="Arial" w:eastAsia="Times New Roman" w:hAnsi="Arial" w:cs="Arial"/>
          <w:b/>
          <w:bCs/>
          <w:color w:val="333333"/>
          <w:sz w:val="22"/>
          <w:szCs w:val="22"/>
          <w:bdr w:val="none" w:sz="0" w:space="0" w:color="auto" w:frame="1"/>
        </w:rPr>
        <w:t xml:space="preserve">Michele de </w:t>
      </w:r>
      <w:proofErr w:type="spellStart"/>
      <w:r w:rsidRPr="008B5C1D">
        <w:rPr>
          <w:rFonts w:ascii="Arial" w:eastAsia="Times New Roman" w:hAnsi="Arial" w:cs="Arial"/>
          <w:b/>
          <w:bCs/>
          <w:color w:val="333333"/>
          <w:sz w:val="22"/>
          <w:szCs w:val="22"/>
          <w:bdr w:val="none" w:sz="0" w:space="0" w:color="auto" w:frame="1"/>
        </w:rPr>
        <w:t>Tavonatti</w:t>
      </w:r>
      <w:proofErr w:type="spellEnd"/>
      <w:r w:rsidRPr="008B5C1D">
        <w:rPr>
          <w:rFonts w:ascii="Arial" w:eastAsia="Times New Roman" w:hAnsi="Arial" w:cs="Arial"/>
          <w:color w:val="333333"/>
          <w:sz w:val="22"/>
          <w:szCs w:val="22"/>
        </w:rPr>
        <w:t> e </w:t>
      </w:r>
      <w:r w:rsidRPr="008B5C1D">
        <w:rPr>
          <w:rFonts w:ascii="Arial" w:eastAsia="Times New Roman" w:hAnsi="Arial" w:cs="Arial"/>
          <w:b/>
          <w:bCs/>
          <w:color w:val="333333"/>
          <w:sz w:val="22"/>
          <w:szCs w:val="22"/>
          <w:bdr w:val="none" w:sz="0" w:space="0" w:color="auto" w:frame="1"/>
        </w:rPr>
        <w:t>David Moro</w:t>
      </w:r>
      <w:r w:rsidRPr="008B5C1D">
        <w:rPr>
          <w:rFonts w:ascii="Arial" w:eastAsia="Times New Roman" w:hAnsi="Arial" w:cs="Arial"/>
          <w:color w:val="333333"/>
          <w:sz w:val="22"/>
          <w:szCs w:val="22"/>
        </w:rPr>
        <w:t> e il Consigliere nazionale de</w:t>
      </w:r>
      <w:r w:rsidR="00D84C41">
        <w:rPr>
          <w:rFonts w:ascii="Arial" w:eastAsia="Times New Roman" w:hAnsi="Arial" w:cs="Arial"/>
          <w:color w:val="333333"/>
          <w:sz w:val="22"/>
          <w:szCs w:val="22"/>
        </w:rPr>
        <w:t>l notariato</w:t>
      </w:r>
      <w:r w:rsidR="00401F78" w:rsidRPr="008B5C1D">
        <w:rPr>
          <w:rFonts w:ascii="Arial" w:eastAsia="Times New Roman" w:hAnsi="Arial" w:cs="Arial"/>
          <w:color w:val="333333"/>
          <w:sz w:val="22"/>
          <w:szCs w:val="22"/>
        </w:rPr>
        <w:t xml:space="preserve"> </w:t>
      </w:r>
      <w:r w:rsidR="00401F78" w:rsidRPr="008B5C1D">
        <w:rPr>
          <w:rFonts w:ascii="Arial" w:eastAsia="Times New Roman" w:hAnsi="Arial" w:cs="Arial"/>
          <w:b/>
          <w:bCs/>
          <w:color w:val="333333"/>
          <w:sz w:val="22"/>
          <w:szCs w:val="22"/>
        </w:rPr>
        <w:t>Diego Barone</w:t>
      </w:r>
      <w:r w:rsidR="00D84C41">
        <w:rPr>
          <w:rFonts w:ascii="Arial" w:eastAsia="Times New Roman" w:hAnsi="Arial" w:cs="Arial"/>
          <w:b/>
          <w:bCs/>
          <w:color w:val="333333"/>
          <w:sz w:val="22"/>
          <w:szCs w:val="22"/>
        </w:rPr>
        <w:t>,</w:t>
      </w:r>
      <w:r w:rsidR="00401F78" w:rsidRPr="008B5C1D">
        <w:rPr>
          <w:rFonts w:ascii="Arial" w:eastAsia="Times New Roman" w:hAnsi="Arial" w:cs="Arial"/>
          <w:color w:val="333333"/>
          <w:sz w:val="22"/>
          <w:szCs w:val="22"/>
        </w:rPr>
        <w:t xml:space="preserve"> </w:t>
      </w:r>
      <w:r w:rsidR="00401F78" w:rsidRPr="008B5C1D">
        <w:rPr>
          <w:rFonts w:ascii="Arial" w:hAnsi="Arial" w:cs="Arial"/>
          <w:bCs/>
          <w:sz w:val="22"/>
          <w:szCs w:val="22"/>
        </w:rPr>
        <w:t xml:space="preserve">responsabile Commissione studi tributari. </w:t>
      </w:r>
      <w:r w:rsidR="00D84C41">
        <w:rPr>
          <w:rFonts w:ascii="Arial" w:hAnsi="Arial" w:cs="Arial"/>
          <w:bCs/>
          <w:sz w:val="22"/>
          <w:szCs w:val="22"/>
        </w:rPr>
        <w:t>Sugli stessi temi, Commercialisti e Notai</w:t>
      </w:r>
      <w:r w:rsidR="00C55F58">
        <w:rPr>
          <w:rFonts w:ascii="Arial" w:hAnsi="Arial" w:cs="Arial"/>
          <w:bCs/>
          <w:sz w:val="22"/>
          <w:szCs w:val="22"/>
        </w:rPr>
        <w:t xml:space="preserve">, </w:t>
      </w:r>
      <w:r w:rsidR="00D84C41">
        <w:rPr>
          <w:rFonts w:ascii="Arial" w:hAnsi="Arial" w:cs="Arial"/>
          <w:bCs/>
          <w:sz w:val="22"/>
          <w:szCs w:val="22"/>
        </w:rPr>
        <w:t xml:space="preserve">con l’associazione </w:t>
      </w:r>
      <w:proofErr w:type="spellStart"/>
      <w:r w:rsidR="00D84C41" w:rsidRPr="00C55F58">
        <w:rPr>
          <w:rFonts w:ascii="Arial" w:hAnsi="Arial" w:cs="Arial"/>
          <w:b/>
          <w:sz w:val="22"/>
          <w:szCs w:val="22"/>
        </w:rPr>
        <w:t>Terzjus</w:t>
      </w:r>
      <w:proofErr w:type="spellEnd"/>
      <w:r w:rsidR="00D84C41" w:rsidRPr="00C55F58">
        <w:rPr>
          <w:rFonts w:ascii="Arial" w:hAnsi="Arial" w:cs="Arial"/>
          <w:b/>
          <w:sz w:val="22"/>
          <w:szCs w:val="22"/>
        </w:rPr>
        <w:t xml:space="preserve"> </w:t>
      </w:r>
      <w:r w:rsidR="00C55F58">
        <w:rPr>
          <w:rFonts w:ascii="Arial" w:hAnsi="Arial" w:cs="Arial"/>
          <w:bCs/>
          <w:sz w:val="22"/>
          <w:szCs w:val="22"/>
        </w:rPr>
        <w:t>avevano</w:t>
      </w:r>
      <w:r w:rsidR="00D84C41">
        <w:rPr>
          <w:rFonts w:ascii="Arial" w:hAnsi="Arial" w:cs="Arial"/>
          <w:bCs/>
          <w:sz w:val="22"/>
          <w:szCs w:val="22"/>
        </w:rPr>
        <w:t xml:space="preserve"> </w:t>
      </w:r>
      <w:r w:rsidR="00C55F58">
        <w:rPr>
          <w:rFonts w:ascii="Arial" w:hAnsi="Arial" w:cs="Arial"/>
          <w:bCs/>
          <w:sz w:val="22"/>
          <w:szCs w:val="22"/>
        </w:rPr>
        <w:t>incontrato nei giorni scorsi anche</w:t>
      </w:r>
      <w:r w:rsidR="00D84C41">
        <w:rPr>
          <w:rFonts w:ascii="Arial" w:hAnsi="Arial" w:cs="Arial"/>
          <w:bCs/>
          <w:sz w:val="22"/>
          <w:szCs w:val="22"/>
        </w:rPr>
        <w:t xml:space="preserve"> il ministro dello Sport </w:t>
      </w:r>
      <w:r w:rsidR="00C55F58" w:rsidRPr="00C55F58">
        <w:rPr>
          <w:rFonts w:ascii="Arial" w:hAnsi="Arial" w:cs="Arial"/>
          <w:b/>
          <w:sz w:val="22"/>
          <w:szCs w:val="22"/>
        </w:rPr>
        <w:t>Andrea Abodi</w:t>
      </w:r>
      <w:r w:rsidR="00C55F58">
        <w:rPr>
          <w:rFonts w:ascii="Arial" w:hAnsi="Arial" w:cs="Arial"/>
          <w:bCs/>
          <w:sz w:val="22"/>
          <w:szCs w:val="22"/>
        </w:rPr>
        <w:t xml:space="preserve">. </w:t>
      </w:r>
      <w:r w:rsidR="00D84C41">
        <w:rPr>
          <w:rFonts w:ascii="Arial" w:hAnsi="Arial" w:cs="Arial"/>
          <w:bCs/>
          <w:sz w:val="22"/>
          <w:szCs w:val="22"/>
        </w:rPr>
        <w:t xml:space="preserve"> </w:t>
      </w:r>
    </w:p>
    <w:p w14:paraId="246EA959" w14:textId="77777777" w:rsidR="00262828" w:rsidRPr="008B5C1D" w:rsidRDefault="00262828" w:rsidP="00262828">
      <w:pPr>
        <w:pStyle w:val="NormaleWeb"/>
        <w:shd w:val="clear" w:color="auto" w:fill="FFFFFF"/>
        <w:textAlignment w:val="baseline"/>
        <w:rPr>
          <w:rFonts w:ascii="Arial" w:eastAsia="Times New Roman" w:hAnsi="Arial" w:cs="Arial"/>
          <w:color w:val="333333"/>
          <w:sz w:val="22"/>
          <w:szCs w:val="22"/>
        </w:rPr>
      </w:pPr>
    </w:p>
    <w:p w14:paraId="1A0AE61A" w14:textId="77777777" w:rsidR="0002084A" w:rsidRDefault="00262828" w:rsidP="00443668">
      <w:pPr>
        <w:jc w:val="both"/>
        <w:rPr>
          <w:rFonts w:ascii="Arial" w:hAnsi="Arial" w:cs="Arial"/>
        </w:rPr>
      </w:pPr>
      <w:r w:rsidRPr="008B5C1D">
        <w:rPr>
          <w:rFonts w:ascii="Arial" w:hAnsi="Arial" w:cs="Arial"/>
        </w:rPr>
        <w:t xml:space="preserve">“Le problematiche concernenti la fiscalità degli enti del Terzo settore e degli enti sportivi – ha spiegato </w:t>
      </w:r>
      <w:r w:rsidRPr="008B5C1D">
        <w:rPr>
          <w:rFonts w:ascii="Arial" w:hAnsi="Arial" w:cs="Arial"/>
          <w:b/>
          <w:bCs/>
        </w:rPr>
        <w:t xml:space="preserve">de </w:t>
      </w:r>
      <w:proofErr w:type="spellStart"/>
      <w:r w:rsidRPr="008B5C1D">
        <w:rPr>
          <w:rFonts w:ascii="Arial" w:hAnsi="Arial" w:cs="Arial"/>
          <w:b/>
          <w:bCs/>
        </w:rPr>
        <w:t>Tavonatti</w:t>
      </w:r>
      <w:proofErr w:type="spellEnd"/>
      <w:r w:rsidRPr="008B5C1D">
        <w:rPr>
          <w:rFonts w:ascii="Arial" w:hAnsi="Arial" w:cs="Arial"/>
        </w:rPr>
        <w:t xml:space="preserve"> - </w:t>
      </w:r>
      <w:r w:rsidR="00443668" w:rsidRPr="008B5C1D">
        <w:rPr>
          <w:rFonts w:ascii="Arial" w:hAnsi="Arial" w:cs="Arial"/>
        </w:rPr>
        <w:t xml:space="preserve">si </w:t>
      </w:r>
      <w:r w:rsidR="0002084A">
        <w:rPr>
          <w:rFonts w:ascii="Arial" w:hAnsi="Arial" w:cs="Arial"/>
        </w:rPr>
        <w:t>sono fatte</w:t>
      </w:r>
      <w:r w:rsidR="00443668" w:rsidRPr="008B5C1D">
        <w:rPr>
          <w:rFonts w:ascii="Arial" w:hAnsi="Arial" w:cs="Arial"/>
        </w:rPr>
        <w:t xml:space="preserve"> </w:t>
      </w:r>
      <w:r w:rsidR="00443668" w:rsidRPr="008B5C1D">
        <w:rPr>
          <w:rFonts w:ascii="Arial" w:hAnsi="Arial" w:cs="Arial"/>
          <w:b/>
          <w:bCs/>
        </w:rPr>
        <w:t>particolarmente pressant</w:t>
      </w:r>
      <w:r w:rsidR="0002084A">
        <w:rPr>
          <w:rFonts w:ascii="Arial" w:hAnsi="Arial" w:cs="Arial"/>
          <w:b/>
          <w:bCs/>
        </w:rPr>
        <w:t>i</w:t>
      </w:r>
      <w:r w:rsidR="00443668" w:rsidRPr="008B5C1D">
        <w:rPr>
          <w:rFonts w:ascii="Arial" w:hAnsi="Arial" w:cs="Arial"/>
        </w:rPr>
        <w:t xml:space="preserve"> per il mondo delle professioni e degli operatori alla luce della prossima entrata in vigore delle nuove previsioni in materia. A partire dal primo periodo d’imposta successivo all’autorizzazione della Commissione europea entreranno, infatti, in vigore alcune delle principali disposizioni contenute nel Titolo X del </w:t>
      </w:r>
      <w:proofErr w:type="spellStart"/>
      <w:r w:rsidR="00443668" w:rsidRPr="008B5C1D">
        <w:rPr>
          <w:rFonts w:ascii="Arial" w:hAnsi="Arial" w:cs="Arial"/>
        </w:rPr>
        <w:t>d.lgs</w:t>
      </w:r>
      <w:proofErr w:type="spellEnd"/>
      <w:r w:rsidR="00443668" w:rsidRPr="008B5C1D">
        <w:rPr>
          <w:rFonts w:ascii="Arial" w:hAnsi="Arial" w:cs="Arial"/>
        </w:rPr>
        <w:t xml:space="preserve"> n. 117 del 3 luglio 2017 recante il “</w:t>
      </w:r>
      <w:r w:rsidR="00443668" w:rsidRPr="008B5C1D">
        <w:rPr>
          <w:rFonts w:ascii="Arial" w:hAnsi="Arial" w:cs="Arial"/>
          <w:b/>
          <w:bCs/>
        </w:rPr>
        <w:t>Codice del Terzo settore</w:t>
      </w:r>
      <w:r w:rsidR="00443668" w:rsidRPr="008B5C1D">
        <w:rPr>
          <w:rFonts w:ascii="Arial" w:hAnsi="Arial" w:cs="Arial"/>
        </w:rPr>
        <w:t>”.</w:t>
      </w:r>
      <w:r w:rsidR="00504C06" w:rsidRPr="008B5C1D">
        <w:rPr>
          <w:rFonts w:ascii="Arial" w:hAnsi="Arial" w:cs="Arial"/>
        </w:rPr>
        <w:t xml:space="preserve"> </w:t>
      </w:r>
      <w:r w:rsidR="00443668" w:rsidRPr="008B5C1D">
        <w:rPr>
          <w:rFonts w:ascii="Arial" w:hAnsi="Arial" w:cs="Arial"/>
        </w:rPr>
        <w:t xml:space="preserve">L’interpretazione applicativa delle disposizioni di natura tributaria potrebbe </w:t>
      </w:r>
      <w:r w:rsidR="00443668" w:rsidRPr="008B5C1D">
        <w:rPr>
          <w:rFonts w:ascii="Arial" w:hAnsi="Arial" w:cs="Arial"/>
          <w:b/>
          <w:bCs/>
        </w:rPr>
        <w:t>impattare fortemente</w:t>
      </w:r>
      <w:r w:rsidR="00443668" w:rsidRPr="008B5C1D">
        <w:rPr>
          <w:rFonts w:ascii="Arial" w:hAnsi="Arial" w:cs="Arial"/>
        </w:rPr>
        <w:t xml:space="preserve"> sulle realtà del Terzo settore tanto da incidere anche sulle scelte inerenti alla </w:t>
      </w:r>
      <w:r w:rsidR="00443668" w:rsidRPr="008B5C1D">
        <w:rPr>
          <w:rFonts w:ascii="Arial" w:hAnsi="Arial" w:cs="Arial"/>
          <w:b/>
          <w:bCs/>
        </w:rPr>
        <w:t>qualificazione giuridica</w:t>
      </w:r>
      <w:r w:rsidR="00443668" w:rsidRPr="008B5C1D">
        <w:rPr>
          <w:rFonts w:ascii="Arial" w:hAnsi="Arial" w:cs="Arial"/>
        </w:rPr>
        <w:t xml:space="preserve"> degli enti medesimi</w:t>
      </w:r>
      <w:r w:rsidRPr="008B5C1D">
        <w:rPr>
          <w:rFonts w:ascii="Arial" w:hAnsi="Arial" w:cs="Arial"/>
        </w:rPr>
        <w:t>”</w:t>
      </w:r>
      <w:r w:rsidR="00443668" w:rsidRPr="008B5C1D">
        <w:rPr>
          <w:rFonts w:ascii="Arial" w:hAnsi="Arial" w:cs="Arial"/>
        </w:rPr>
        <w:t>.</w:t>
      </w:r>
    </w:p>
    <w:p w14:paraId="7EE7A01E" w14:textId="77777777" w:rsidR="0002084A" w:rsidRDefault="0002084A" w:rsidP="00443668">
      <w:pPr>
        <w:jc w:val="both"/>
        <w:rPr>
          <w:rFonts w:ascii="Arial" w:hAnsi="Arial" w:cs="Arial"/>
        </w:rPr>
      </w:pPr>
    </w:p>
    <w:p w14:paraId="5D19597F" w14:textId="2F2A2559" w:rsidR="00443668" w:rsidRPr="008B5C1D" w:rsidRDefault="00262828" w:rsidP="00443668">
      <w:pPr>
        <w:jc w:val="both"/>
        <w:rPr>
          <w:rFonts w:ascii="Arial" w:hAnsi="Arial" w:cs="Arial"/>
        </w:rPr>
      </w:pPr>
      <w:r w:rsidRPr="008B5C1D">
        <w:rPr>
          <w:rFonts w:ascii="Arial" w:hAnsi="Arial" w:cs="Arial"/>
        </w:rPr>
        <w:t>La proposta avanzata da Commercialisti</w:t>
      </w:r>
      <w:r w:rsidR="005670A3" w:rsidRPr="008B5C1D">
        <w:rPr>
          <w:rFonts w:ascii="Arial" w:hAnsi="Arial" w:cs="Arial"/>
        </w:rPr>
        <w:t xml:space="preserve"> e</w:t>
      </w:r>
      <w:r w:rsidRPr="008B5C1D">
        <w:rPr>
          <w:rFonts w:ascii="Arial" w:hAnsi="Arial" w:cs="Arial"/>
        </w:rPr>
        <w:t xml:space="preserve"> Notai è quella di “</w:t>
      </w:r>
      <w:r w:rsidR="00443668" w:rsidRPr="008B5C1D">
        <w:rPr>
          <w:rFonts w:ascii="Arial" w:hAnsi="Arial" w:cs="Arial"/>
        </w:rPr>
        <w:t xml:space="preserve">fornire </w:t>
      </w:r>
      <w:r w:rsidR="00443668" w:rsidRPr="008B5C1D">
        <w:rPr>
          <w:rFonts w:ascii="Arial" w:hAnsi="Arial" w:cs="Arial"/>
          <w:b/>
          <w:bCs/>
        </w:rPr>
        <w:t>un’analisi interpretativa</w:t>
      </w:r>
      <w:r w:rsidR="00443668" w:rsidRPr="008B5C1D">
        <w:rPr>
          <w:rFonts w:ascii="Arial" w:hAnsi="Arial" w:cs="Arial"/>
        </w:rPr>
        <w:t xml:space="preserve"> di alcune significative problematiche, ad oggi irrisolte, antecedentemente all’entrata in vigore della nuova disciplina che, in ragione delle interlocuzioni già avviate dal Governo con la Commissione Europea, avverrebbe, nel caso in cui la Commissione Europea rilasciasse la propria autorizzazione nel corso della presente annualità, a partire dal periodo d’imposta 2024</w:t>
      </w:r>
      <w:r w:rsidRPr="008B5C1D">
        <w:rPr>
          <w:rFonts w:ascii="Arial" w:hAnsi="Arial" w:cs="Arial"/>
        </w:rPr>
        <w:t>”</w:t>
      </w:r>
      <w:r w:rsidR="00443668" w:rsidRPr="008B5C1D">
        <w:rPr>
          <w:rFonts w:ascii="Arial" w:hAnsi="Arial" w:cs="Arial"/>
        </w:rPr>
        <w:t>.</w:t>
      </w:r>
    </w:p>
    <w:p w14:paraId="161AC588" w14:textId="77777777" w:rsidR="00262828" w:rsidRPr="008B5C1D" w:rsidRDefault="00262828" w:rsidP="00443668">
      <w:pPr>
        <w:jc w:val="both"/>
        <w:rPr>
          <w:rFonts w:ascii="Arial" w:hAnsi="Arial" w:cs="Arial"/>
        </w:rPr>
      </w:pPr>
    </w:p>
    <w:p w14:paraId="308B5672" w14:textId="09BB413C" w:rsidR="00443668" w:rsidRPr="008B5C1D" w:rsidRDefault="00504C06" w:rsidP="00443668">
      <w:pPr>
        <w:jc w:val="both"/>
        <w:rPr>
          <w:rFonts w:ascii="Arial" w:hAnsi="Arial" w:cs="Arial"/>
        </w:rPr>
      </w:pPr>
      <w:r w:rsidRPr="008B5C1D">
        <w:rPr>
          <w:rFonts w:ascii="Arial" w:hAnsi="Arial" w:cs="Arial"/>
        </w:rPr>
        <w:t xml:space="preserve">“Ci sono </w:t>
      </w:r>
      <w:r w:rsidR="00443668" w:rsidRPr="008B5C1D">
        <w:rPr>
          <w:rFonts w:ascii="Arial" w:hAnsi="Arial" w:cs="Arial"/>
        </w:rPr>
        <w:t xml:space="preserve">importanti aspetti tecnici su cui sono emerse </w:t>
      </w:r>
      <w:r w:rsidR="00443668" w:rsidRPr="008B5C1D">
        <w:rPr>
          <w:rFonts w:ascii="Arial" w:hAnsi="Arial" w:cs="Arial"/>
          <w:b/>
          <w:bCs/>
        </w:rPr>
        <w:t>sostanziali ambiguità</w:t>
      </w:r>
      <w:r w:rsidR="00443668" w:rsidRPr="008B5C1D">
        <w:rPr>
          <w:rFonts w:ascii="Arial" w:hAnsi="Arial" w:cs="Arial"/>
        </w:rPr>
        <w:t xml:space="preserve"> a livello operativo, quali le questioni interpretative legate all’applicazione del </w:t>
      </w:r>
      <w:r w:rsidR="00443668" w:rsidRPr="008B5C1D">
        <w:rPr>
          <w:rFonts w:ascii="Arial" w:hAnsi="Arial" w:cs="Arial"/>
          <w:b/>
          <w:bCs/>
        </w:rPr>
        <w:t>test di “non commercialità”</w:t>
      </w:r>
      <w:r w:rsidR="00443668" w:rsidRPr="008B5C1D">
        <w:rPr>
          <w:rFonts w:ascii="Arial" w:hAnsi="Arial" w:cs="Arial"/>
        </w:rPr>
        <w:t xml:space="preserve">, l’inquadramento dei </w:t>
      </w:r>
      <w:r w:rsidR="00443668" w:rsidRPr="008B5C1D">
        <w:rPr>
          <w:rFonts w:ascii="Arial" w:hAnsi="Arial" w:cs="Arial"/>
          <w:b/>
          <w:bCs/>
        </w:rPr>
        <w:t>contributi pubblici</w:t>
      </w:r>
      <w:r w:rsidR="00443668" w:rsidRPr="008B5C1D">
        <w:rPr>
          <w:rFonts w:ascii="Arial" w:hAnsi="Arial" w:cs="Arial"/>
        </w:rPr>
        <w:t xml:space="preserve"> nell’ambito della fiscalità degli ETS, la gestione del passaggio dei beni dalla sfera commerciale alla sfera non commerciale dell’ente, il coordinamento della </w:t>
      </w:r>
      <w:r w:rsidR="00443668" w:rsidRPr="008B5C1D">
        <w:rPr>
          <w:rFonts w:ascii="Arial" w:hAnsi="Arial" w:cs="Arial"/>
          <w:b/>
          <w:bCs/>
        </w:rPr>
        <w:t>disciplina IVA</w:t>
      </w:r>
      <w:r w:rsidR="00443668" w:rsidRPr="008B5C1D">
        <w:rPr>
          <w:rFonts w:ascii="Arial" w:hAnsi="Arial" w:cs="Arial"/>
        </w:rPr>
        <w:t>, ed altro ancora</w:t>
      </w:r>
      <w:r w:rsidRPr="008B5C1D">
        <w:rPr>
          <w:rFonts w:ascii="Arial" w:hAnsi="Arial" w:cs="Arial"/>
        </w:rPr>
        <w:t>”, ha sottolineato</w:t>
      </w:r>
      <w:r w:rsidR="008B5C1D" w:rsidRPr="008B5C1D">
        <w:rPr>
          <w:rFonts w:ascii="Arial" w:hAnsi="Arial" w:cs="Arial"/>
        </w:rPr>
        <w:t xml:space="preserve"> </w:t>
      </w:r>
      <w:r w:rsidR="008B5C1D" w:rsidRPr="008B5C1D">
        <w:rPr>
          <w:rFonts w:ascii="Arial" w:hAnsi="Arial" w:cs="Arial"/>
          <w:b/>
          <w:bCs/>
        </w:rPr>
        <w:t>Moro</w:t>
      </w:r>
      <w:r w:rsidR="00443668" w:rsidRPr="008B5C1D">
        <w:rPr>
          <w:rFonts w:ascii="Arial" w:hAnsi="Arial" w:cs="Arial"/>
        </w:rPr>
        <w:t>.</w:t>
      </w:r>
    </w:p>
    <w:p w14:paraId="3F11AC95" w14:textId="77777777" w:rsidR="00504C06" w:rsidRPr="008B5C1D" w:rsidRDefault="00504C06" w:rsidP="00443668">
      <w:pPr>
        <w:jc w:val="both"/>
        <w:rPr>
          <w:rFonts w:ascii="Arial" w:hAnsi="Arial" w:cs="Arial"/>
        </w:rPr>
      </w:pPr>
    </w:p>
    <w:p w14:paraId="6C80302C" w14:textId="0D5E98E4" w:rsidR="00443668" w:rsidRPr="008B5C1D" w:rsidRDefault="00443668" w:rsidP="00443668">
      <w:pPr>
        <w:jc w:val="both"/>
        <w:rPr>
          <w:rFonts w:ascii="Arial" w:hAnsi="Arial" w:cs="Arial"/>
        </w:rPr>
      </w:pPr>
      <w:r w:rsidRPr="008B5C1D">
        <w:rPr>
          <w:rFonts w:ascii="Arial" w:hAnsi="Arial" w:cs="Arial"/>
        </w:rPr>
        <w:t xml:space="preserve">L’incontro ha avuto come oggetto anche l’analisi del sistema fiscale degli enti sportivi dilettantistici, in fase di definizione anche a seguito della prossima entrata in vigore del </w:t>
      </w:r>
      <w:proofErr w:type="spellStart"/>
      <w:r w:rsidRPr="008B5C1D">
        <w:rPr>
          <w:rFonts w:ascii="Arial" w:hAnsi="Arial" w:cs="Arial"/>
        </w:rPr>
        <w:t>d.lgs</w:t>
      </w:r>
      <w:proofErr w:type="spellEnd"/>
      <w:r w:rsidRPr="008B5C1D">
        <w:rPr>
          <w:rFonts w:ascii="Arial" w:hAnsi="Arial" w:cs="Arial"/>
        </w:rPr>
        <w:t xml:space="preserve"> n. 36 del 28 febbraio 2021, posticipata al 1° luglio 2023 dal decreto milleproroghe (L. 14 del 24 febbraio 2023 di conversione, con modificazioni, del D.L. n. 198 del 29 dicembre 2022). A tale scopo, è stato evidenziato anche come la mancanza di una puntuale disciplina in tema di </w:t>
      </w:r>
      <w:r w:rsidRPr="008B5C1D">
        <w:rPr>
          <w:rFonts w:ascii="Arial" w:hAnsi="Arial" w:cs="Arial"/>
          <w:b/>
          <w:bCs/>
        </w:rPr>
        <w:t>rendicontazione</w:t>
      </w:r>
      <w:r w:rsidRPr="008B5C1D">
        <w:rPr>
          <w:rFonts w:ascii="Arial" w:hAnsi="Arial" w:cs="Arial"/>
        </w:rPr>
        <w:t xml:space="preserve"> lasci nell’incertezza gli operatori. Sono stati, poi, considerati altri elementi fondanti dell’impianto fiscale degli enti sportivi, evidenziando come vi siano ancora incertezze in merito all’adozione di norme in essere con riferimento alle disposizioni in materia di </w:t>
      </w:r>
      <w:r w:rsidRPr="008B5C1D">
        <w:rPr>
          <w:rFonts w:ascii="Arial" w:hAnsi="Arial" w:cs="Arial"/>
          <w:b/>
          <w:bCs/>
        </w:rPr>
        <w:t>imposte sui redditi e imposte indirette</w:t>
      </w:r>
      <w:r w:rsidRPr="008B5C1D">
        <w:rPr>
          <w:rFonts w:ascii="Arial" w:hAnsi="Arial" w:cs="Arial"/>
        </w:rPr>
        <w:t>.</w:t>
      </w:r>
    </w:p>
    <w:p w14:paraId="011C0945" w14:textId="2B9C5683" w:rsidR="00DA2EC2" w:rsidRPr="008B5C1D" w:rsidRDefault="00DA2EC2" w:rsidP="00443668">
      <w:pPr>
        <w:jc w:val="both"/>
        <w:rPr>
          <w:rFonts w:ascii="Arial" w:hAnsi="Arial" w:cs="Arial"/>
        </w:rPr>
      </w:pPr>
    </w:p>
    <w:p w14:paraId="20F1F797" w14:textId="11ACA672" w:rsidR="00401F78" w:rsidRPr="008B5C1D" w:rsidRDefault="00401F78" w:rsidP="00401F78">
      <w:pPr>
        <w:jc w:val="both"/>
        <w:rPr>
          <w:rFonts w:ascii="Arial" w:hAnsi="Arial" w:cs="Arial"/>
        </w:rPr>
      </w:pPr>
      <w:r w:rsidRPr="008B5C1D">
        <w:rPr>
          <w:rFonts w:ascii="Arial" w:hAnsi="Arial" w:cs="Arial"/>
          <w:bCs/>
        </w:rPr>
        <w:t>Per</w:t>
      </w:r>
      <w:r w:rsidRPr="008B5C1D">
        <w:rPr>
          <w:rFonts w:ascii="Arial" w:hAnsi="Arial" w:cs="Arial"/>
          <w:b/>
          <w:bCs/>
        </w:rPr>
        <w:t xml:space="preserve"> Diego Barone, </w:t>
      </w:r>
      <w:r w:rsidRPr="008B5C1D">
        <w:rPr>
          <w:rFonts w:ascii="Arial" w:hAnsi="Arial" w:cs="Arial"/>
          <w:bCs/>
        </w:rPr>
        <w:t>consigliere nazionale del Notariato responsabile Commissione studi tributari,</w:t>
      </w:r>
      <w:r w:rsidRPr="008B5C1D">
        <w:rPr>
          <w:rFonts w:ascii="Arial" w:hAnsi="Arial" w:cs="Arial"/>
        </w:rPr>
        <w:t xml:space="preserve"> “</w:t>
      </w:r>
      <w:r w:rsidRPr="008B5C1D">
        <w:rPr>
          <w:rFonts w:ascii="Arial" w:hAnsi="Arial" w:cs="Arial"/>
          <w:iCs/>
        </w:rPr>
        <w:t xml:space="preserve">nell’ottica anche di una complessiva armonizzazione con la disciplina del terzo settore, sarebbe opportuno prevedere - ai fini dell’adeguamento statutario imposto dalla riforma dello sport agli enti sportivi che abbiano già la qualifica di ASD /SSD- un regime di semplificazioni e agevolazioni sia </w:t>
      </w:r>
      <w:r w:rsidRPr="008B5C1D">
        <w:rPr>
          <w:rFonts w:ascii="Arial" w:hAnsi="Arial" w:cs="Arial"/>
          <w:iCs/>
        </w:rPr>
        <w:lastRenderedPageBreak/>
        <w:t>sotto il profilo civilistico (consentendo quorum deliberativi ridotti), che sotto il profilo fiscale (stabilendo l’esenzione dall’imposta di registro), così come già previsto per gli enti del terzo settore”</w:t>
      </w:r>
      <w:r w:rsidRPr="008B5C1D">
        <w:rPr>
          <w:rFonts w:ascii="Arial" w:hAnsi="Arial" w:cs="Arial"/>
        </w:rPr>
        <w:t xml:space="preserve">. </w:t>
      </w:r>
    </w:p>
    <w:p w14:paraId="16242E04" w14:textId="77777777" w:rsidR="00504C06" w:rsidRPr="008B5C1D" w:rsidRDefault="00504C06" w:rsidP="00443668">
      <w:pPr>
        <w:jc w:val="both"/>
        <w:rPr>
          <w:rFonts w:ascii="Arial" w:hAnsi="Arial" w:cs="Arial"/>
        </w:rPr>
      </w:pPr>
    </w:p>
    <w:p w14:paraId="0CC5033F" w14:textId="2D97724A" w:rsidR="00443668" w:rsidRPr="00C55F58" w:rsidRDefault="00FA142E" w:rsidP="00443668">
      <w:pPr>
        <w:jc w:val="both"/>
        <w:rPr>
          <w:rFonts w:ascii="Arial" w:hAnsi="Arial" w:cs="Arial"/>
        </w:rPr>
      </w:pPr>
      <w:r>
        <w:rPr>
          <w:rFonts w:ascii="Arial" w:hAnsi="Arial" w:cs="Arial"/>
        </w:rPr>
        <w:t>Per</w:t>
      </w:r>
      <w:r w:rsidR="00443668" w:rsidRPr="00C55F58">
        <w:rPr>
          <w:rFonts w:ascii="Arial" w:hAnsi="Arial" w:cs="Arial"/>
        </w:rPr>
        <w:t xml:space="preserve"> </w:t>
      </w:r>
      <w:r w:rsidR="00C55F58">
        <w:rPr>
          <w:rFonts w:ascii="Arial" w:hAnsi="Arial" w:cs="Arial"/>
        </w:rPr>
        <w:t xml:space="preserve">giungere ad </w:t>
      </w:r>
      <w:r w:rsidR="00443668" w:rsidRPr="00C55F58">
        <w:rPr>
          <w:rFonts w:ascii="Arial" w:hAnsi="Arial" w:cs="Arial"/>
        </w:rPr>
        <w:t xml:space="preserve">un </w:t>
      </w:r>
      <w:r w:rsidR="00443668" w:rsidRPr="00C55F58">
        <w:rPr>
          <w:rFonts w:ascii="Arial" w:hAnsi="Arial" w:cs="Arial"/>
          <w:i/>
          <w:iCs/>
        </w:rPr>
        <w:t>corpus</w:t>
      </w:r>
      <w:r w:rsidR="00443668" w:rsidRPr="00C55F58">
        <w:rPr>
          <w:rFonts w:ascii="Arial" w:hAnsi="Arial" w:cs="Arial"/>
        </w:rPr>
        <w:t xml:space="preserve"> di norme più definito in termini applicativi, il </w:t>
      </w:r>
      <w:r w:rsidR="00443668" w:rsidRPr="00C55F58">
        <w:rPr>
          <w:rFonts w:ascii="Arial" w:hAnsi="Arial" w:cs="Arial"/>
          <w:b/>
          <w:bCs/>
        </w:rPr>
        <w:t>Ministero dell’Economia</w:t>
      </w:r>
      <w:r w:rsidR="00443668" w:rsidRPr="00C55F58">
        <w:rPr>
          <w:rFonts w:ascii="Arial" w:hAnsi="Arial" w:cs="Arial"/>
        </w:rPr>
        <w:t xml:space="preserve"> </w:t>
      </w:r>
      <w:r w:rsidR="00443668" w:rsidRPr="00C55F58">
        <w:rPr>
          <w:rFonts w:ascii="Arial" w:hAnsi="Arial" w:cs="Arial"/>
          <w:b/>
          <w:bCs/>
        </w:rPr>
        <w:t>e delle Finanze</w:t>
      </w:r>
      <w:r w:rsidR="00443668" w:rsidRPr="00C55F58">
        <w:rPr>
          <w:rFonts w:ascii="Arial" w:hAnsi="Arial" w:cs="Arial"/>
        </w:rPr>
        <w:t xml:space="preserve">, per tramite del supporto </w:t>
      </w:r>
      <w:r w:rsidR="00443668" w:rsidRPr="00C55F58">
        <w:rPr>
          <w:rFonts w:ascii="Arial" w:hAnsi="Arial" w:cs="Arial"/>
          <w:b/>
          <w:bCs/>
        </w:rPr>
        <w:t>dell’Agenzia delle Entrate</w:t>
      </w:r>
      <w:r w:rsidR="00443668" w:rsidRPr="00C55F58">
        <w:rPr>
          <w:rFonts w:ascii="Arial" w:hAnsi="Arial" w:cs="Arial"/>
        </w:rPr>
        <w:t xml:space="preserve">, ha quindi rappresentato l’intendimento di creare una </w:t>
      </w:r>
      <w:r w:rsidR="00443668" w:rsidRPr="00C55F58">
        <w:rPr>
          <w:rFonts w:ascii="Arial" w:hAnsi="Arial" w:cs="Arial"/>
          <w:b/>
          <w:bCs/>
        </w:rPr>
        <w:t>Tavolo tecnico di lavoro</w:t>
      </w:r>
      <w:r w:rsidR="00443668" w:rsidRPr="00C55F58">
        <w:rPr>
          <w:rFonts w:ascii="Arial" w:hAnsi="Arial" w:cs="Arial"/>
        </w:rPr>
        <w:t xml:space="preserve"> sulla riforma fiscale degli enti del Terzo settore e dilettantistici unitamente a commercialisti</w:t>
      </w:r>
      <w:r w:rsidR="004868B9" w:rsidRPr="00C55F58">
        <w:rPr>
          <w:rFonts w:ascii="Arial" w:hAnsi="Arial" w:cs="Arial"/>
        </w:rPr>
        <w:t xml:space="preserve"> e</w:t>
      </w:r>
      <w:r w:rsidR="00443668" w:rsidRPr="00C55F58">
        <w:rPr>
          <w:rFonts w:ascii="Arial" w:hAnsi="Arial" w:cs="Arial"/>
        </w:rPr>
        <w:t xml:space="preserve"> notai. Il Tavolo tecnico</w:t>
      </w:r>
      <w:r w:rsidR="00C55F58">
        <w:rPr>
          <w:rFonts w:ascii="Arial" w:hAnsi="Arial" w:cs="Arial"/>
        </w:rPr>
        <w:t xml:space="preserve">, che si coordinerà con i ministeri competenti, </w:t>
      </w:r>
      <w:r w:rsidR="00443668" w:rsidRPr="00C55F58">
        <w:rPr>
          <w:rFonts w:ascii="Arial" w:hAnsi="Arial" w:cs="Arial"/>
        </w:rPr>
        <w:t xml:space="preserve">si soffermerà, quindi, sulla definizione di </w:t>
      </w:r>
      <w:r w:rsidR="00443668" w:rsidRPr="00C55F58">
        <w:rPr>
          <w:rFonts w:ascii="Arial" w:hAnsi="Arial" w:cs="Arial"/>
          <w:b/>
          <w:bCs/>
        </w:rPr>
        <w:t>norme interpretative consolidate</w:t>
      </w:r>
      <w:r w:rsidR="00443668" w:rsidRPr="00C55F58">
        <w:rPr>
          <w:rFonts w:ascii="Arial" w:hAnsi="Arial" w:cs="Arial"/>
        </w:rPr>
        <w:t xml:space="preserve"> e, se del caso, di </w:t>
      </w:r>
      <w:r w:rsidR="00443668" w:rsidRPr="00C55F58">
        <w:rPr>
          <w:rFonts w:ascii="Arial" w:hAnsi="Arial" w:cs="Arial"/>
          <w:b/>
          <w:bCs/>
        </w:rPr>
        <w:t>proposte emendative</w:t>
      </w:r>
      <w:r w:rsidR="00443668" w:rsidRPr="00C55F58">
        <w:rPr>
          <w:rFonts w:ascii="Arial" w:hAnsi="Arial" w:cs="Arial"/>
        </w:rPr>
        <w:t xml:space="preserve"> all’attuale sistema di norme.</w:t>
      </w:r>
    </w:p>
    <w:p w14:paraId="1C51FB7B" w14:textId="77777777" w:rsidR="00E54468" w:rsidRPr="008B5C1D" w:rsidRDefault="00E54468" w:rsidP="00443668">
      <w:pPr>
        <w:pStyle w:val="xmsonormal0"/>
        <w:shd w:val="clear" w:color="auto" w:fill="FFFFFF"/>
        <w:jc w:val="center"/>
        <w:rPr>
          <w:rFonts w:ascii="Arial" w:eastAsia="Arial Narrow" w:hAnsi="Arial" w:cs="Arial"/>
        </w:rPr>
      </w:pPr>
    </w:p>
    <w:sectPr w:rsidR="00E54468" w:rsidRPr="008B5C1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0053" w14:textId="77777777" w:rsidR="00573509" w:rsidRDefault="00573509" w:rsidP="0078332C">
      <w:r>
        <w:separator/>
      </w:r>
    </w:p>
  </w:endnote>
  <w:endnote w:type="continuationSeparator" w:id="0">
    <w:p w14:paraId="0EDAF1C1" w14:textId="77777777" w:rsidR="00573509" w:rsidRDefault="0057350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AD79" w14:textId="77777777" w:rsidR="00573509" w:rsidRDefault="00573509" w:rsidP="0078332C">
      <w:r>
        <w:separator/>
      </w:r>
    </w:p>
  </w:footnote>
  <w:footnote w:type="continuationSeparator" w:id="0">
    <w:p w14:paraId="606E5411" w14:textId="77777777" w:rsidR="00573509" w:rsidRDefault="0057350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A311B2"/>
    <w:multiLevelType w:val="multilevel"/>
    <w:tmpl w:val="FFFFFFFF"/>
    <w:lvl w:ilvl="0">
      <w:start w:val="1"/>
      <w:numFmt w:val="decimal"/>
      <w:lvlText w:val="%1."/>
      <w:lvlJc w:val="left"/>
      <w:pPr>
        <w:ind w:left="720" w:hanging="360"/>
      </w:pPr>
      <w:rPr>
        <w:rFonts w:ascii="Calibri" w:eastAsia="Calibri" w:hAnsi="Calibri" w:cs="Calibri"/>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FC95A1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6"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7" w15:restartNumberingAfterBreak="0">
    <w:nsid w:val="730967F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977099023">
    <w:abstractNumId w:val="10"/>
  </w:num>
  <w:num w:numId="2" w16cid:durableId="219825531">
    <w:abstractNumId w:val="6"/>
  </w:num>
  <w:num w:numId="3" w16cid:durableId="748229942">
    <w:abstractNumId w:val="12"/>
  </w:num>
  <w:num w:numId="4" w16cid:durableId="812481146">
    <w:abstractNumId w:val="7"/>
  </w:num>
  <w:num w:numId="5" w16cid:durableId="1558662176">
    <w:abstractNumId w:val="18"/>
  </w:num>
  <w:num w:numId="6" w16cid:durableId="1164662252">
    <w:abstractNumId w:val="4"/>
  </w:num>
  <w:num w:numId="7" w16cid:durableId="347413329">
    <w:abstractNumId w:val="0"/>
  </w:num>
  <w:num w:numId="8" w16cid:durableId="1163857069">
    <w:abstractNumId w:val="15"/>
  </w:num>
  <w:num w:numId="9" w16cid:durableId="676422017">
    <w:abstractNumId w:val="8"/>
  </w:num>
  <w:num w:numId="10" w16cid:durableId="1534149371">
    <w:abstractNumId w:val="8"/>
  </w:num>
  <w:num w:numId="11" w16cid:durableId="1273395234">
    <w:abstractNumId w:val="9"/>
  </w:num>
  <w:num w:numId="12" w16cid:durableId="1941331629">
    <w:abstractNumId w:val="2"/>
  </w:num>
  <w:num w:numId="13" w16cid:durableId="1405957949">
    <w:abstractNumId w:val="16"/>
  </w:num>
  <w:num w:numId="14" w16cid:durableId="168955128">
    <w:abstractNumId w:val="3"/>
  </w:num>
  <w:num w:numId="15" w16cid:durableId="1305089526">
    <w:abstractNumId w:val="9"/>
    <w:lvlOverride w:ilvl="0">
      <w:startOverride w:val="1"/>
    </w:lvlOverride>
  </w:num>
  <w:num w:numId="16" w16cid:durableId="185944484">
    <w:abstractNumId w:val="3"/>
    <w:lvlOverride w:ilvl="0">
      <w:startOverride w:val="1"/>
    </w:lvlOverride>
  </w:num>
  <w:num w:numId="17" w16cid:durableId="1712531944">
    <w:abstractNumId w:val="1"/>
  </w:num>
  <w:num w:numId="18" w16cid:durableId="74299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980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562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0703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51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706686">
    <w:abstractNumId w:val="9"/>
    <w:lvlOverride w:ilvl="0">
      <w:startOverride w:val="1"/>
    </w:lvlOverride>
    <w:lvlOverride w:ilvl="1"/>
    <w:lvlOverride w:ilvl="2"/>
    <w:lvlOverride w:ilvl="3"/>
    <w:lvlOverride w:ilvl="4"/>
    <w:lvlOverride w:ilvl="5"/>
    <w:lvlOverride w:ilvl="6"/>
    <w:lvlOverride w:ilvl="7"/>
    <w:lvlOverride w:ilvl="8"/>
  </w:num>
  <w:num w:numId="24" w16cid:durableId="302125790">
    <w:abstractNumId w:val="14"/>
  </w:num>
  <w:num w:numId="25" w16cid:durableId="1414159061">
    <w:abstractNumId w:val="11"/>
  </w:num>
  <w:num w:numId="26" w16cid:durableId="322855116">
    <w:abstractNumId w:val="5"/>
  </w:num>
  <w:num w:numId="27" w16cid:durableId="765274455">
    <w:abstractNumId w:val="13"/>
  </w:num>
  <w:num w:numId="28" w16cid:durableId="1155101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084A"/>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6D5B"/>
    <w:rsid w:val="000971A3"/>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3DF2"/>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62828"/>
    <w:rsid w:val="00272605"/>
    <w:rsid w:val="002777E7"/>
    <w:rsid w:val="00281202"/>
    <w:rsid w:val="0028246D"/>
    <w:rsid w:val="00286C68"/>
    <w:rsid w:val="002933D0"/>
    <w:rsid w:val="00294D14"/>
    <w:rsid w:val="00296472"/>
    <w:rsid w:val="002973C7"/>
    <w:rsid w:val="002978C9"/>
    <w:rsid w:val="00297CA4"/>
    <w:rsid w:val="002A1399"/>
    <w:rsid w:val="002A3814"/>
    <w:rsid w:val="002A59A1"/>
    <w:rsid w:val="002A70B5"/>
    <w:rsid w:val="002A76BF"/>
    <w:rsid w:val="002A7C92"/>
    <w:rsid w:val="002A7CF4"/>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01F78"/>
    <w:rsid w:val="00422B71"/>
    <w:rsid w:val="0042489D"/>
    <w:rsid w:val="004251EF"/>
    <w:rsid w:val="00434025"/>
    <w:rsid w:val="00443042"/>
    <w:rsid w:val="00443668"/>
    <w:rsid w:val="00452258"/>
    <w:rsid w:val="00456CEA"/>
    <w:rsid w:val="0046629D"/>
    <w:rsid w:val="0047270A"/>
    <w:rsid w:val="00472F6D"/>
    <w:rsid w:val="00476C15"/>
    <w:rsid w:val="00485F00"/>
    <w:rsid w:val="004868B9"/>
    <w:rsid w:val="004875FA"/>
    <w:rsid w:val="00493DC9"/>
    <w:rsid w:val="00494B2B"/>
    <w:rsid w:val="00496213"/>
    <w:rsid w:val="004964DA"/>
    <w:rsid w:val="004A44B8"/>
    <w:rsid w:val="004A6888"/>
    <w:rsid w:val="004B21EA"/>
    <w:rsid w:val="004B2695"/>
    <w:rsid w:val="004E435B"/>
    <w:rsid w:val="004E692D"/>
    <w:rsid w:val="004F1170"/>
    <w:rsid w:val="004F4736"/>
    <w:rsid w:val="004F56A8"/>
    <w:rsid w:val="004F7362"/>
    <w:rsid w:val="00500E13"/>
    <w:rsid w:val="00504C06"/>
    <w:rsid w:val="00505AE2"/>
    <w:rsid w:val="00511C1B"/>
    <w:rsid w:val="005122BE"/>
    <w:rsid w:val="00513477"/>
    <w:rsid w:val="00513967"/>
    <w:rsid w:val="00516C97"/>
    <w:rsid w:val="00520E1B"/>
    <w:rsid w:val="00522FFA"/>
    <w:rsid w:val="00531523"/>
    <w:rsid w:val="00531D32"/>
    <w:rsid w:val="005321A7"/>
    <w:rsid w:val="00534AD7"/>
    <w:rsid w:val="00536016"/>
    <w:rsid w:val="005403EC"/>
    <w:rsid w:val="00542311"/>
    <w:rsid w:val="00543860"/>
    <w:rsid w:val="00544970"/>
    <w:rsid w:val="00555885"/>
    <w:rsid w:val="005625A8"/>
    <w:rsid w:val="005636DE"/>
    <w:rsid w:val="00564A2D"/>
    <w:rsid w:val="005670A3"/>
    <w:rsid w:val="005673AC"/>
    <w:rsid w:val="00573509"/>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294"/>
    <w:rsid w:val="005F454F"/>
    <w:rsid w:val="005F5B57"/>
    <w:rsid w:val="005F684F"/>
    <w:rsid w:val="0060588F"/>
    <w:rsid w:val="00611427"/>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0A41"/>
    <w:rsid w:val="00691FBF"/>
    <w:rsid w:val="006A0B5D"/>
    <w:rsid w:val="006A0D3B"/>
    <w:rsid w:val="006A4451"/>
    <w:rsid w:val="006B322C"/>
    <w:rsid w:val="006B7375"/>
    <w:rsid w:val="006C3945"/>
    <w:rsid w:val="006C6818"/>
    <w:rsid w:val="006C6D0E"/>
    <w:rsid w:val="006C7063"/>
    <w:rsid w:val="006E43CD"/>
    <w:rsid w:val="006F4DC7"/>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15DE"/>
    <w:rsid w:val="00832BE3"/>
    <w:rsid w:val="00841053"/>
    <w:rsid w:val="0084346A"/>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B5C1D"/>
    <w:rsid w:val="008C0C0D"/>
    <w:rsid w:val="008C54FB"/>
    <w:rsid w:val="008C5ED3"/>
    <w:rsid w:val="008C7690"/>
    <w:rsid w:val="008D5C4B"/>
    <w:rsid w:val="008E141E"/>
    <w:rsid w:val="00900B88"/>
    <w:rsid w:val="0090302C"/>
    <w:rsid w:val="0090438E"/>
    <w:rsid w:val="00906D46"/>
    <w:rsid w:val="00907687"/>
    <w:rsid w:val="00920E08"/>
    <w:rsid w:val="009226A2"/>
    <w:rsid w:val="0093430A"/>
    <w:rsid w:val="00934F3D"/>
    <w:rsid w:val="00935333"/>
    <w:rsid w:val="009400B3"/>
    <w:rsid w:val="009477ED"/>
    <w:rsid w:val="009618F5"/>
    <w:rsid w:val="0096544D"/>
    <w:rsid w:val="0097646E"/>
    <w:rsid w:val="00980E02"/>
    <w:rsid w:val="009813D9"/>
    <w:rsid w:val="00986756"/>
    <w:rsid w:val="00987ED2"/>
    <w:rsid w:val="00993E86"/>
    <w:rsid w:val="00995839"/>
    <w:rsid w:val="009965B6"/>
    <w:rsid w:val="009A1934"/>
    <w:rsid w:val="009A33C1"/>
    <w:rsid w:val="009A3EB5"/>
    <w:rsid w:val="009B2EAC"/>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3FE3"/>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0667D"/>
    <w:rsid w:val="00B066AD"/>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40C"/>
    <w:rsid w:val="00BB7DCC"/>
    <w:rsid w:val="00BB7EE6"/>
    <w:rsid w:val="00BC5E35"/>
    <w:rsid w:val="00BD0164"/>
    <w:rsid w:val="00BD0510"/>
    <w:rsid w:val="00BD2206"/>
    <w:rsid w:val="00BD6259"/>
    <w:rsid w:val="00BF096F"/>
    <w:rsid w:val="00BF37E8"/>
    <w:rsid w:val="00BF3A80"/>
    <w:rsid w:val="00C01E28"/>
    <w:rsid w:val="00C156F9"/>
    <w:rsid w:val="00C27F27"/>
    <w:rsid w:val="00C302BD"/>
    <w:rsid w:val="00C30E85"/>
    <w:rsid w:val="00C33494"/>
    <w:rsid w:val="00C342D6"/>
    <w:rsid w:val="00C418FB"/>
    <w:rsid w:val="00C43099"/>
    <w:rsid w:val="00C51F27"/>
    <w:rsid w:val="00C55F58"/>
    <w:rsid w:val="00C57B7C"/>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5672"/>
    <w:rsid w:val="00CF6388"/>
    <w:rsid w:val="00CF7BCA"/>
    <w:rsid w:val="00D027DD"/>
    <w:rsid w:val="00D02F53"/>
    <w:rsid w:val="00D041E9"/>
    <w:rsid w:val="00D04ABF"/>
    <w:rsid w:val="00D078C6"/>
    <w:rsid w:val="00D07944"/>
    <w:rsid w:val="00D10DCB"/>
    <w:rsid w:val="00D12802"/>
    <w:rsid w:val="00D1409D"/>
    <w:rsid w:val="00D14366"/>
    <w:rsid w:val="00D21FB3"/>
    <w:rsid w:val="00D234CB"/>
    <w:rsid w:val="00D27080"/>
    <w:rsid w:val="00D37415"/>
    <w:rsid w:val="00D41CE0"/>
    <w:rsid w:val="00D53F64"/>
    <w:rsid w:val="00D569A1"/>
    <w:rsid w:val="00D5740A"/>
    <w:rsid w:val="00D65875"/>
    <w:rsid w:val="00D71D44"/>
    <w:rsid w:val="00D748BF"/>
    <w:rsid w:val="00D75105"/>
    <w:rsid w:val="00D7526D"/>
    <w:rsid w:val="00D84C41"/>
    <w:rsid w:val="00D92E6B"/>
    <w:rsid w:val="00DA27BF"/>
    <w:rsid w:val="00DA2EC2"/>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54468"/>
    <w:rsid w:val="00E6797B"/>
    <w:rsid w:val="00E67E9C"/>
    <w:rsid w:val="00E701F3"/>
    <w:rsid w:val="00E855E0"/>
    <w:rsid w:val="00E9545A"/>
    <w:rsid w:val="00EA25EF"/>
    <w:rsid w:val="00EA5CE8"/>
    <w:rsid w:val="00EB67A4"/>
    <w:rsid w:val="00EB7E70"/>
    <w:rsid w:val="00EC2A7C"/>
    <w:rsid w:val="00ED08A8"/>
    <w:rsid w:val="00ED2970"/>
    <w:rsid w:val="00ED2BA2"/>
    <w:rsid w:val="00EE1017"/>
    <w:rsid w:val="00EE3C69"/>
    <w:rsid w:val="00EE51A4"/>
    <w:rsid w:val="00EF49EF"/>
    <w:rsid w:val="00EF561D"/>
    <w:rsid w:val="00EF57D4"/>
    <w:rsid w:val="00EF7D25"/>
    <w:rsid w:val="00F00503"/>
    <w:rsid w:val="00F01EA9"/>
    <w:rsid w:val="00F066B1"/>
    <w:rsid w:val="00F079D1"/>
    <w:rsid w:val="00F177D2"/>
    <w:rsid w:val="00F30A50"/>
    <w:rsid w:val="00F45D3A"/>
    <w:rsid w:val="00F53A8A"/>
    <w:rsid w:val="00F547BE"/>
    <w:rsid w:val="00F61CBC"/>
    <w:rsid w:val="00F653F9"/>
    <w:rsid w:val="00F67F0B"/>
    <w:rsid w:val="00F7125B"/>
    <w:rsid w:val="00F8058C"/>
    <w:rsid w:val="00F8394A"/>
    <w:rsid w:val="00F85CD4"/>
    <w:rsid w:val="00FA142E"/>
    <w:rsid w:val="00FA1AE0"/>
    <w:rsid w:val="00FA5AD9"/>
    <w:rsid w:val="00FB2C0A"/>
    <w:rsid w:val="00FB43A6"/>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1842723">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9869603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cp:lastPrinted>2023-03-08T15:21:00Z</cp:lastPrinted>
  <dcterms:created xsi:type="dcterms:W3CDTF">2023-03-08T16:07:00Z</dcterms:created>
  <dcterms:modified xsi:type="dcterms:W3CDTF">2023-03-08T16:07:00Z</dcterms:modified>
</cp:coreProperties>
</file>