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872580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Pr="00872580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AC9DBDC" w:rsidR="009A3EB5" w:rsidRDefault="009A3EB5" w:rsidP="00AC693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872580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p w14:paraId="103C5D06" w14:textId="77777777" w:rsidR="00413193" w:rsidRPr="00872580" w:rsidRDefault="00413193" w:rsidP="00AC6935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bookmarkEnd w:id="0"/>
    <w:p w14:paraId="732D921A" w14:textId="6CC83281" w:rsidR="009107D6" w:rsidRPr="001E5B27" w:rsidRDefault="009107D6" w:rsidP="009107D6">
      <w:pPr>
        <w:spacing w:before="120" w:after="120" w:line="30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DL ANTICIPI: COMMERCIALISTI, STOPPATO TENTATIVO DI APPROPRIARSI DELLE NOSTRE COMPETENZE</w:t>
      </w:r>
    </w:p>
    <w:p w14:paraId="12CE7A51" w14:textId="72215102" w:rsidR="00976A1F" w:rsidRPr="001E5B27" w:rsidRDefault="009107D6" w:rsidP="009107D6">
      <w:pPr>
        <w:spacing w:before="120" w:after="120" w:line="30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De Nuccio: “Il Consiglio nazionale presidio contro gli attacchi alla professione. Grazie a</w:t>
      </w:r>
      <w:r w:rsidR="00B3334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Governo,</w:t>
      </w:r>
      <w:r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Mef e Giustizia per aver compreso e sostenuto le nostre ragioni”</w:t>
      </w:r>
    </w:p>
    <w:p w14:paraId="3DAD81A5" w14:textId="77777777" w:rsidR="009107D6" w:rsidRPr="001E5B27" w:rsidRDefault="009107D6" w:rsidP="009107D6">
      <w:pPr>
        <w:spacing w:before="120" w:after="120" w:line="30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4E2370F6" w14:textId="55223106" w:rsidR="009107D6" w:rsidRPr="001E5B27" w:rsidRDefault="009107D6" w:rsidP="009107D6">
      <w:pPr>
        <w:spacing w:before="120" w:after="120" w:line="30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E5B27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Roma, 7 dicembre 2023 – </w:t>
      </w: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“L’ennesimo tentativo di </w:t>
      </w:r>
      <w:r w:rsidR="00B33343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</w:t>
      </w:r>
      <w:r w:rsidR="00B3334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ppropriarsi di </w:t>
      </w:r>
      <w:r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competenze</w:t>
      </w: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della nostra professione</w:t>
      </w:r>
      <w:r w:rsid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è stato bloccato. Chi ha provato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ancora una</w:t>
      </w: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volta a invadere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il</w:t>
      </w: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campo di gioco altrui </w:t>
      </w:r>
      <w:r w:rsidR="007E4E32" w:rsidRPr="00D90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ha fallito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Ci auguriamo </w:t>
      </w:r>
      <w:r w:rsidR="00D90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adesso 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che questa strategia venga definitivamente abbandonata</w:t>
      </w:r>
      <w:r w:rsidR="005538A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che il confronto tra professioni ordinistiche possa svolgersi sempre </w:t>
      </w:r>
      <w:r w:rsidR="00DB2811">
        <w:rPr>
          <w:rFonts w:ascii="Arial" w:hAnsi="Arial" w:cs="Arial"/>
          <w:color w:val="222222"/>
          <w:sz w:val="24"/>
          <w:szCs w:val="24"/>
          <w:shd w:val="clear" w:color="auto" w:fill="FFFFFF"/>
        </w:rPr>
        <w:t>sul piano</w:t>
      </w:r>
      <w:r w:rsidR="005538A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della </w:t>
      </w:r>
      <w:r w:rsidR="005538AB" w:rsidRPr="005538A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correttezza</w:t>
      </w:r>
      <w:r w:rsidR="005538A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del </w:t>
      </w:r>
      <w:r w:rsidR="005538AB" w:rsidRPr="005538A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rispetto reciproco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. In ogni caso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il Consiglio nazionale non rinuncerà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mai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 suo </w:t>
      </w:r>
      <w:r w:rsidR="007E4E32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ruolo di presidio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alla sua </w:t>
      </w:r>
      <w:r w:rsidR="007E4E32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forte azione di interlocuzione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 le istituzioni che</w:t>
      </w:r>
      <w:r w:rsidR="00E30F6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anche questa volta</w:t>
      </w:r>
      <w:r w:rsidR="00E30F6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ha dato i suoi frutti”. 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È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quanto dichiara il presidente del Consiglio nazionale dei commercialisti, </w:t>
      </w:r>
      <w:r w:rsidR="007E4E32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Elbano de Nuccio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a commento </w:t>
      </w:r>
      <w:r w:rsidR="00C31309">
        <w:rPr>
          <w:rFonts w:ascii="Arial" w:hAnsi="Arial" w:cs="Arial"/>
          <w:color w:val="222222"/>
          <w:sz w:val="24"/>
          <w:szCs w:val="24"/>
          <w:shd w:val="clear" w:color="auto" w:fill="FFFFFF"/>
        </w:rPr>
        <w:t>del ritiro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due emendamenti al </w:t>
      </w:r>
      <w:r w:rsidR="007E4E32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Dl </w:t>
      </w:r>
      <w:r w:rsidR="001E5B27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</w:t>
      </w:r>
      <w:r w:rsidR="007E4E32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nticipi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 quali si puntava a estendere ai </w:t>
      </w:r>
      <w:r w:rsidR="001E5B27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</w:t>
      </w:r>
      <w:r w:rsidR="007E4E32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evisori legali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possibilità di inviare le dichiarazioni fiscali e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concedere ai </w:t>
      </w:r>
      <w:r w:rsidR="001E5B27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</w:t>
      </w:r>
      <w:r w:rsidR="007E4E32" w:rsidRPr="001E5B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onsulenti del lavoro</w:t>
      </w:r>
      <w:r w:rsidR="007E4E32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facoltà di depositare i bilanci.</w:t>
      </w:r>
    </w:p>
    <w:p w14:paraId="1819D97B" w14:textId="04ABAEC0" w:rsidR="001E5B27" w:rsidRPr="001E5B27" w:rsidRDefault="007E4E32" w:rsidP="009107D6">
      <w:pPr>
        <w:spacing w:before="120" w:after="120" w:line="30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r w:rsidR="00C31309">
        <w:rPr>
          <w:rFonts w:ascii="Arial" w:hAnsi="Arial" w:cs="Arial"/>
          <w:color w:val="222222"/>
          <w:sz w:val="24"/>
          <w:szCs w:val="24"/>
          <w:shd w:val="clear" w:color="auto" w:fill="FFFFFF"/>
        </w:rPr>
        <w:t>Il ritiro di questi emendamenti</w:t>
      </w: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 afferma </w:t>
      </w:r>
      <w:r w:rsidR="00DB2811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il presidente</w:t>
      </w: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dei commercialisti – </w:t>
      </w:r>
      <w:r w:rsidR="00B333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nasce dalla presa di coscienza che sarebbe stato </w:t>
      </w:r>
      <w:r w:rsidR="00B33343" w:rsidRPr="005538A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improprio</w:t>
      </w:r>
      <w:r w:rsidR="00B333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estendere ad altri </w:t>
      </w:r>
      <w:r w:rsidR="00B33343" w:rsidRPr="005538A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specifiche competenze aziendalistiche e contabili</w:t>
      </w:r>
      <w:r w:rsidR="00B333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tipicamente appartenenti alla professione dei dottori commercialisti e degli esperti contabili. Per questo</w:t>
      </w:r>
      <w:r w:rsidR="00E30F6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motivo,</w:t>
      </w:r>
      <w:r w:rsidR="00B333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queste ore abbiamo dato il massimo per bloccare un’operazione irrispettosa della nostra professione.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Mentre alcuni </w:t>
      </w:r>
      <w:r w:rsidR="00B333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sindacati di categoria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denunciavano tardivamente quanto stava accadendo, il nostro Consiglio nazionale si è speso immediatamente e con tenacia </w:t>
      </w:r>
      <w:r w:rsidR="00D90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nelle sedi opportune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 spiegare perché fossimo di </w:t>
      </w:r>
      <w:r w:rsidR="00DB2811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fronte </w:t>
      </w:r>
      <w:r w:rsidR="00DB2811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D064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una </w:t>
      </w:r>
      <w:r w:rsidR="00D903ED" w:rsidRPr="00D90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iniziativa irricevibile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716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ingraziamo calorosamente il </w:t>
      </w:r>
      <w:r w:rsidR="00B33343" w:rsidRPr="00E716B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Governo</w:t>
      </w:r>
      <w:r w:rsidR="00B333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il </w:t>
      </w:r>
      <w:r w:rsidR="001E5B27" w:rsidRPr="00D90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Ministero dell’Economia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quello della </w:t>
      </w:r>
      <w:r w:rsidR="001E5B27" w:rsidRPr="00D90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Giustizia 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 aver </w:t>
      </w:r>
      <w:r w:rsidR="001E5B27" w:rsidRPr="00D90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compreso e sostenuto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nostra posizione e per aver arginato </w:t>
      </w:r>
      <w:r w:rsidR="00E716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questa </w:t>
      </w:r>
      <w:r w:rsidR="001E5B27" w:rsidRPr="00D903ED">
        <w:rPr>
          <w:rFonts w:ascii="Arial" w:hAnsi="Arial" w:cs="Arial"/>
          <w:color w:val="222222"/>
          <w:sz w:val="24"/>
          <w:szCs w:val="24"/>
          <w:shd w:val="clear" w:color="auto" w:fill="FFFFFF"/>
        </w:rPr>
        <w:t>operazione</w:t>
      </w:r>
      <w:r w:rsidR="001E5B27"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”. </w:t>
      </w:r>
    </w:p>
    <w:p w14:paraId="18D658F1" w14:textId="55B965F4" w:rsidR="007E4E32" w:rsidRPr="001E5B27" w:rsidRDefault="001E5B27" w:rsidP="009107D6">
      <w:pPr>
        <w:spacing w:before="120" w:after="120" w:line="300" w:lineRule="auto"/>
        <w:jc w:val="both"/>
        <w:rPr>
          <w:rFonts w:ascii="Arial" w:eastAsia="Calibri" w:hAnsi="Arial" w:cs="Arial"/>
          <w:sz w:val="24"/>
          <w:szCs w:val="24"/>
        </w:rPr>
      </w:pPr>
      <w:r w:rsidRPr="001E5B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sectPr w:rsidR="007E4E32" w:rsidRPr="001E5B2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EA19" w14:textId="77777777" w:rsidR="002F1E3B" w:rsidRDefault="002F1E3B" w:rsidP="0078332C">
      <w:r>
        <w:separator/>
      </w:r>
    </w:p>
  </w:endnote>
  <w:endnote w:type="continuationSeparator" w:id="0">
    <w:p w14:paraId="531069F1" w14:textId="77777777" w:rsidR="002F1E3B" w:rsidRDefault="002F1E3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C83B" w14:textId="77777777" w:rsidR="002F1E3B" w:rsidRDefault="002F1E3B" w:rsidP="0078332C">
      <w:r>
        <w:separator/>
      </w:r>
    </w:p>
  </w:footnote>
  <w:footnote w:type="continuationSeparator" w:id="0">
    <w:p w14:paraId="0EE83C96" w14:textId="77777777" w:rsidR="002F1E3B" w:rsidRDefault="002F1E3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38C6"/>
    <w:multiLevelType w:val="hybridMultilevel"/>
    <w:tmpl w:val="4C5A9892"/>
    <w:lvl w:ilvl="0" w:tplc="6C1248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7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1"/>
  </w:num>
  <w:num w:numId="2" w16cid:durableId="219825531">
    <w:abstractNumId w:val="6"/>
  </w:num>
  <w:num w:numId="3" w16cid:durableId="748229942">
    <w:abstractNumId w:val="13"/>
  </w:num>
  <w:num w:numId="4" w16cid:durableId="812481146">
    <w:abstractNumId w:val="7"/>
  </w:num>
  <w:num w:numId="5" w16cid:durableId="1558662176">
    <w:abstractNumId w:val="19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6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10"/>
  </w:num>
  <w:num w:numId="12" w16cid:durableId="1941331629">
    <w:abstractNumId w:val="2"/>
  </w:num>
  <w:num w:numId="13" w16cid:durableId="1405957949">
    <w:abstractNumId w:val="17"/>
  </w:num>
  <w:num w:numId="14" w16cid:durableId="168955128">
    <w:abstractNumId w:val="3"/>
  </w:num>
  <w:num w:numId="15" w16cid:durableId="1305089526">
    <w:abstractNumId w:val="10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5"/>
  </w:num>
  <w:num w:numId="25" w16cid:durableId="1414159061">
    <w:abstractNumId w:val="12"/>
  </w:num>
  <w:num w:numId="26" w16cid:durableId="322855116">
    <w:abstractNumId w:val="5"/>
  </w:num>
  <w:num w:numId="27" w16cid:durableId="765274455">
    <w:abstractNumId w:val="14"/>
  </w:num>
  <w:num w:numId="28" w16cid:durableId="1155101125">
    <w:abstractNumId w:val="18"/>
  </w:num>
  <w:num w:numId="29" w16cid:durableId="107847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4497D"/>
    <w:rsid w:val="00053052"/>
    <w:rsid w:val="0005386B"/>
    <w:rsid w:val="000539AC"/>
    <w:rsid w:val="0006018A"/>
    <w:rsid w:val="0007464D"/>
    <w:rsid w:val="000806B0"/>
    <w:rsid w:val="00082FFB"/>
    <w:rsid w:val="00085FC5"/>
    <w:rsid w:val="00086639"/>
    <w:rsid w:val="00090CE4"/>
    <w:rsid w:val="0009108B"/>
    <w:rsid w:val="00093834"/>
    <w:rsid w:val="00096D5B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93C"/>
    <w:rsid w:val="000E5756"/>
    <w:rsid w:val="000F3853"/>
    <w:rsid w:val="00103B90"/>
    <w:rsid w:val="00105755"/>
    <w:rsid w:val="0011356D"/>
    <w:rsid w:val="00117671"/>
    <w:rsid w:val="00121A2C"/>
    <w:rsid w:val="00121C2D"/>
    <w:rsid w:val="00123B69"/>
    <w:rsid w:val="00142E95"/>
    <w:rsid w:val="0014557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5B27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5169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1E3B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0F36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1D55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3052"/>
    <w:rsid w:val="003E753F"/>
    <w:rsid w:val="003E78D0"/>
    <w:rsid w:val="003E7F9C"/>
    <w:rsid w:val="003F7A1D"/>
    <w:rsid w:val="00400CE9"/>
    <w:rsid w:val="00413193"/>
    <w:rsid w:val="00422B71"/>
    <w:rsid w:val="0042489D"/>
    <w:rsid w:val="004251EF"/>
    <w:rsid w:val="00434025"/>
    <w:rsid w:val="0044003E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180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38AB"/>
    <w:rsid w:val="00555885"/>
    <w:rsid w:val="005625A8"/>
    <w:rsid w:val="005636DE"/>
    <w:rsid w:val="00564A2D"/>
    <w:rsid w:val="005673AC"/>
    <w:rsid w:val="00576CB3"/>
    <w:rsid w:val="0057755A"/>
    <w:rsid w:val="005779CB"/>
    <w:rsid w:val="00577AFD"/>
    <w:rsid w:val="0058002D"/>
    <w:rsid w:val="005809E5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3FAC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6501"/>
    <w:rsid w:val="00677A10"/>
    <w:rsid w:val="00683363"/>
    <w:rsid w:val="00684F9D"/>
    <w:rsid w:val="00690A41"/>
    <w:rsid w:val="00691FBF"/>
    <w:rsid w:val="006A0B5D"/>
    <w:rsid w:val="006A0D3B"/>
    <w:rsid w:val="006A4451"/>
    <w:rsid w:val="006A617A"/>
    <w:rsid w:val="006B322C"/>
    <w:rsid w:val="006B7375"/>
    <w:rsid w:val="006C3945"/>
    <w:rsid w:val="006C6818"/>
    <w:rsid w:val="006C6D0E"/>
    <w:rsid w:val="006C7063"/>
    <w:rsid w:val="006E43CD"/>
    <w:rsid w:val="006E49B4"/>
    <w:rsid w:val="006F4DC7"/>
    <w:rsid w:val="00715BA2"/>
    <w:rsid w:val="00717DC7"/>
    <w:rsid w:val="00726188"/>
    <w:rsid w:val="007262E1"/>
    <w:rsid w:val="00733FA5"/>
    <w:rsid w:val="0073509D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85709"/>
    <w:rsid w:val="0079297E"/>
    <w:rsid w:val="007950EA"/>
    <w:rsid w:val="007A2C15"/>
    <w:rsid w:val="007C0C2D"/>
    <w:rsid w:val="007C14B1"/>
    <w:rsid w:val="007C3A93"/>
    <w:rsid w:val="007C5CCD"/>
    <w:rsid w:val="007D296F"/>
    <w:rsid w:val="007D4196"/>
    <w:rsid w:val="007E44E2"/>
    <w:rsid w:val="007E4E3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2580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5C4B"/>
    <w:rsid w:val="008E141E"/>
    <w:rsid w:val="008F7C2D"/>
    <w:rsid w:val="00900B88"/>
    <w:rsid w:val="009025FE"/>
    <w:rsid w:val="0090302C"/>
    <w:rsid w:val="0090438E"/>
    <w:rsid w:val="00906D46"/>
    <w:rsid w:val="00907687"/>
    <w:rsid w:val="009107D6"/>
    <w:rsid w:val="00920E08"/>
    <w:rsid w:val="0093430A"/>
    <w:rsid w:val="00934F3D"/>
    <w:rsid w:val="00935333"/>
    <w:rsid w:val="009400B3"/>
    <w:rsid w:val="00940E73"/>
    <w:rsid w:val="009477ED"/>
    <w:rsid w:val="009618F5"/>
    <w:rsid w:val="0096544D"/>
    <w:rsid w:val="0097646E"/>
    <w:rsid w:val="00976A1F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B7BA8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9F7CEB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34738"/>
    <w:rsid w:val="00A41F47"/>
    <w:rsid w:val="00A428F4"/>
    <w:rsid w:val="00A43F56"/>
    <w:rsid w:val="00A46131"/>
    <w:rsid w:val="00A47BEF"/>
    <w:rsid w:val="00A52294"/>
    <w:rsid w:val="00A558C0"/>
    <w:rsid w:val="00A6097D"/>
    <w:rsid w:val="00A614F2"/>
    <w:rsid w:val="00A641E3"/>
    <w:rsid w:val="00A6546B"/>
    <w:rsid w:val="00A67293"/>
    <w:rsid w:val="00A67A90"/>
    <w:rsid w:val="00A81EED"/>
    <w:rsid w:val="00A837E6"/>
    <w:rsid w:val="00A9398B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C6935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33343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1309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64EA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69E2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03ED"/>
    <w:rsid w:val="00D92E6B"/>
    <w:rsid w:val="00DA27BF"/>
    <w:rsid w:val="00DA5A6D"/>
    <w:rsid w:val="00DA73B5"/>
    <w:rsid w:val="00DA7914"/>
    <w:rsid w:val="00DB2811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0F65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716BD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D7B1F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2536"/>
    <w:rsid w:val="00F177D2"/>
    <w:rsid w:val="00F26E53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E61F7"/>
    <w:rsid w:val="00FE691B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450C11BA-084B-458A-ABE1-DE907A12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2023-03-08T09:55:00Z</cp:lastPrinted>
  <dcterms:created xsi:type="dcterms:W3CDTF">2023-12-07T08:55:00Z</dcterms:created>
  <dcterms:modified xsi:type="dcterms:W3CDTF">2023-12-07T10:31:00Z</dcterms:modified>
</cp:coreProperties>
</file>