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36F4" w14:textId="77777777" w:rsidR="00B17FC6" w:rsidRPr="00F82E6C" w:rsidRDefault="00B17FC6" w:rsidP="00F82E6C">
      <w:pPr>
        <w:jc w:val="center"/>
        <w:rPr>
          <w:rStyle w:val="contentpasted1"/>
          <w:rFonts w:ascii="Arial" w:hAnsi="Arial" w:cs="Arial"/>
          <w:b/>
          <w:bCs/>
          <w:sz w:val="23"/>
          <w:szCs w:val="23"/>
          <w:u w:val="single"/>
        </w:rPr>
      </w:pPr>
    </w:p>
    <w:p w14:paraId="0706F239" w14:textId="77777777" w:rsidR="00F50E42" w:rsidRDefault="00F50E42" w:rsidP="00F82E6C">
      <w:pPr>
        <w:jc w:val="center"/>
        <w:rPr>
          <w:rStyle w:val="contentpasted1"/>
          <w:rFonts w:ascii="Arial" w:hAnsi="Arial" w:cs="Arial"/>
          <w:b/>
          <w:bCs/>
          <w:u w:val="single"/>
        </w:rPr>
      </w:pPr>
    </w:p>
    <w:p w14:paraId="5410867B" w14:textId="38393DDC" w:rsidR="006E31A4" w:rsidRPr="00C8179F" w:rsidRDefault="006E31A4" w:rsidP="00F82E6C">
      <w:pPr>
        <w:jc w:val="center"/>
        <w:rPr>
          <w:rStyle w:val="contentpasted1"/>
          <w:rFonts w:ascii="Arial" w:hAnsi="Arial" w:cs="Arial"/>
          <w:b/>
          <w:bCs/>
          <w:u w:val="single"/>
        </w:rPr>
      </w:pPr>
      <w:r w:rsidRPr="00C8179F">
        <w:rPr>
          <w:rStyle w:val="contentpasted1"/>
          <w:rFonts w:ascii="Arial" w:hAnsi="Arial" w:cs="Arial"/>
          <w:b/>
          <w:bCs/>
          <w:u w:val="single"/>
        </w:rPr>
        <w:t>Comunicato stampa</w:t>
      </w:r>
    </w:p>
    <w:p w14:paraId="6A3E03C7" w14:textId="77777777" w:rsidR="008C67F8" w:rsidRPr="00C8179F" w:rsidRDefault="008C67F8" w:rsidP="00F82E6C">
      <w:pPr>
        <w:jc w:val="center"/>
        <w:rPr>
          <w:rFonts w:ascii="Arial" w:hAnsi="Arial" w:cs="Arial"/>
        </w:rPr>
      </w:pPr>
    </w:p>
    <w:p w14:paraId="1CB7B741" w14:textId="69D58080" w:rsidR="00BE1831" w:rsidRPr="00C8179F" w:rsidRDefault="00BE1831" w:rsidP="00F82E6C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lang w:eastAsia="it-IT"/>
        </w:rPr>
      </w:pPr>
      <w:r w:rsidRPr="00C8179F">
        <w:rPr>
          <w:rFonts w:ascii="Arial" w:eastAsia="Times New Roman" w:hAnsi="Arial" w:cs="Arial"/>
          <w:b/>
          <w:bCs/>
          <w:lang w:eastAsia="it-IT"/>
        </w:rPr>
        <w:t>SOCIETÀ DI CAPITALI</w:t>
      </w:r>
      <w:r w:rsidR="002A4BF4" w:rsidRPr="00C8179F">
        <w:rPr>
          <w:rFonts w:ascii="Arial" w:eastAsia="Times New Roman" w:hAnsi="Arial" w:cs="Arial"/>
          <w:b/>
          <w:bCs/>
          <w:lang w:eastAsia="it-IT"/>
        </w:rPr>
        <w:t>:</w:t>
      </w:r>
      <w:r w:rsidR="00EE3729" w:rsidRPr="00C8179F">
        <w:rPr>
          <w:rFonts w:ascii="Arial" w:eastAsia="Times New Roman" w:hAnsi="Arial" w:cs="Arial"/>
          <w:b/>
          <w:bCs/>
          <w:lang w:eastAsia="it-IT"/>
        </w:rPr>
        <w:t xml:space="preserve"> COMMERCIALISTI, </w:t>
      </w:r>
      <w:r w:rsidR="00E10DEB" w:rsidRPr="00C8179F">
        <w:rPr>
          <w:rFonts w:ascii="Arial" w:eastAsia="Times New Roman" w:hAnsi="Arial" w:cs="Arial"/>
          <w:b/>
          <w:bCs/>
          <w:lang w:eastAsia="it-IT"/>
        </w:rPr>
        <w:t>L’INFLAZIONE GONFIA I BILANCI DELLE IMPRESE</w:t>
      </w:r>
      <w:r w:rsidR="00261590" w:rsidRPr="00C8179F">
        <w:rPr>
          <w:rFonts w:ascii="Arial" w:eastAsia="Times New Roman" w:hAnsi="Arial" w:cs="Arial"/>
          <w:b/>
          <w:bCs/>
          <w:lang w:eastAsia="it-IT"/>
        </w:rPr>
        <w:t>.</w:t>
      </w:r>
      <w:r w:rsidR="00E10DEB" w:rsidRPr="00C8179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C8179F">
        <w:rPr>
          <w:rFonts w:ascii="Arial" w:eastAsia="Times New Roman" w:hAnsi="Arial" w:cs="Arial"/>
          <w:b/>
          <w:bCs/>
          <w:lang w:eastAsia="it-IT"/>
        </w:rPr>
        <w:t>RICAVI</w:t>
      </w:r>
      <w:r w:rsidR="00040758" w:rsidRPr="00C8179F">
        <w:rPr>
          <w:rFonts w:ascii="Arial" w:eastAsia="Times New Roman" w:hAnsi="Arial" w:cs="Arial"/>
          <w:b/>
          <w:bCs/>
          <w:lang w:eastAsia="it-IT"/>
        </w:rPr>
        <w:t xml:space="preserve"> IN AUMENTO NEL 2022</w:t>
      </w:r>
      <w:r w:rsidR="00C425CD" w:rsidRPr="00C8179F">
        <w:rPr>
          <w:rFonts w:ascii="Arial" w:eastAsia="Times New Roman" w:hAnsi="Arial" w:cs="Arial"/>
          <w:b/>
          <w:bCs/>
          <w:lang w:eastAsia="it-IT"/>
        </w:rPr>
        <w:t xml:space="preserve"> (31,5%)</w:t>
      </w:r>
      <w:r w:rsidR="00040758" w:rsidRPr="00C8179F">
        <w:rPr>
          <w:rFonts w:ascii="Arial" w:eastAsia="Times New Roman" w:hAnsi="Arial" w:cs="Arial"/>
          <w:b/>
          <w:bCs/>
          <w:lang w:eastAsia="it-IT"/>
        </w:rPr>
        <w:t xml:space="preserve">, MA TREND IN DISCESA </w:t>
      </w:r>
      <w:r w:rsidR="00C425CD" w:rsidRPr="00C8179F">
        <w:rPr>
          <w:rFonts w:ascii="Arial" w:eastAsia="Times New Roman" w:hAnsi="Arial" w:cs="Arial"/>
          <w:b/>
          <w:bCs/>
          <w:lang w:eastAsia="it-IT"/>
        </w:rPr>
        <w:t>N</w:t>
      </w:r>
      <w:r w:rsidR="00040758" w:rsidRPr="00C8179F">
        <w:rPr>
          <w:rFonts w:ascii="Arial" w:eastAsia="Times New Roman" w:hAnsi="Arial" w:cs="Arial"/>
          <w:b/>
          <w:bCs/>
          <w:lang w:eastAsia="it-IT"/>
        </w:rPr>
        <w:t>EL 2023</w:t>
      </w:r>
      <w:r w:rsidR="00C425CD" w:rsidRPr="00C8179F">
        <w:rPr>
          <w:rFonts w:ascii="Arial" w:eastAsia="Times New Roman" w:hAnsi="Arial" w:cs="Arial"/>
          <w:b/>
          <w:bCs/>
          <w:lang w:eastAsia="it-IT"/>
        </w:rPr>
        <w:t xml:space="preserve"> (+10,5%)</w:t>
      </w:r>
    </w:p>
    <w:p w14:paraId="6B8266F8" w14:textId="77777777" w:rsidR="00261590" w:rsidRPr="00C8179F" w:rsidRDefault="00261590" w:rsidP="00F82E6C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lang w:eastAsia="it-IT"/>
        </w:rPr>
      </w:pPr>
    </w:p>
    <w:p w14:paraId="7EE098B2" w14:textId="486261A7" w:rsidR="004A1072" w:rsidRPr="00C8179F" w:rsidRDefault="00261590" w:rsidP="00F82E6C">
      <w:pPr>
        <w:jc w:val="center"/>
        <w:rPr>
          <w:rFonts w:ascii="Arial" w:eastAsia="Times New Roman" w:hAnsi="Arial" w:cs="Arial"/>
          <w:b/>
          <w:bCs/>
          <w:lang w:eastAsia="it-IT"/>
        </w:rPr>
      </w:pPr>
      <w:r w:rsidRPr="00C8179F">
        <w:rPr>
          <w:rFonts w:ascii="Arial" w:eastAsia="Times New Roman" w:hAnsi="Arial" w:cs="Arial"/>
          <w:b/>
          <w:bCs/>
          <w:lang w:eastAsia="it-IT"/>
        </w:rPr>
        <w:t>Nel 2023, a</w:t>
      </w:r>
      <w:r w:rsidR="004A1072" w:rsidRPr="00C8179F">
        <w:rPr>
          <w:rFonts w:ascii="Arial" w:eastAsia="Times New Roman" w:hAnsi="Arial" w:cs="Arial"/>
          <w:b/>
          <w:bCs/>
          <w:lang w:eastAsia="it-IT"/>
        </w:rPr>
        <w:t>l netto dell’inflazione, la crescita dei ricavi scende al 4,2% dal 20,9% del 2022.</w:t>
      </w:r>
    </w:p>
    <w:p w14:paraId="66EFD84B" w14:textId="77777777" w:rsidR="00F50E42" w:rsidRDefault="00A52EE7" w:rsidP="004A107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8179F">
        <w:rPr>
          <w:rFonts w:ascii="Arial" w:hAnsi="Arial" w:cs="Arial"/>
          <w:b/>
          <w:bCs/>
          <w:shd w:val="clear" w:color="auto" w:fill="FFFFFF"/>
        </w:rPr>
        <w:t xml:space="preserve">Le </w:t>
      </w:r>
      <w:r w:rsidR="002701F0" w:rsidRPr="00C8179F">
        <w:rPr>
          <w:rFonts w:ascii="Arial" w:hAnsi="Arial" w:cs="Arial"/>
          <w:b/>
          <w:bCs/>
          <w:shd w:val="clear" w:color="auto" w:fill="FFFFFF"/>
        </w:rPr>
        <w:t>P</w:t>
      </w:r>
      <w:r w:rsidR="00856729" w:rsidRPr="00C8179F">
        <w:rPr>
          <w:rFonts w:ascii="Arial" w:hAnsi="Arial" w:cs="Arial"/>
          <w:b/>
          <w:bCs/>
          <w:shd w:val="clear" w:color="auto" w:fill="FFFFFF"/>
        </w:rPr>
        <w:t>mi</w:t>
      </w:r>
      <w:r w:rsidR="002701F0" w:rsidRPr="00C8179F">
        <w:rPr>
          <w:rFonts w:ascii="Arial" w:hAnsi="Arial" w:cs="Arial"/>
          <w:b/>
          <w:bCs/>
          <w:shd w:val="clear" w:color="auto" w:fill="FFFFFF"/>
        </w:rPr>
        <w:t xml:space="preserve"> realizzano il 4</w:t>
      </w:r>
      <w:r w:rsidR="008B7959" w:rsidRPr="00C8179F">
        <w:rPr>
          <w:rFonts w:ascii="Arial" w:hAnsi="Arial" w:cs="Arial"/>
          <w:b/>
          <w:bCs/>
          <w:shd w:val="clear" w:color="auto" w:fill="FFFFFF"/>
        </w:rPr>
        <w:t>7,8</w:t>
      </w:r>
      <w:r w:rsidR="002701F0" w:rsidRPr="00C8179F">
        <w:rPr>
          <w:rFonts w:ascii="Arial" w:hAnsi="Arial" w:cs="Arial"/>
          <w:b/>
          <w:bCs/>
          <w:shd w:val="clear" w:color="auto" w:fill="FFFFFF"/>
        </w:rPr>
        <w:t xml:space="preserve">% del fatturato rispetto a </w:t>
      </w:r>
      <w:r w:rsidR="00856729" w:rsidRPr="00C8179F">
        <w:rPr>
          <w:rFonts w:ascii="Arial" w:hAnsi="Arial" w:cs="Arial"/>
          <w:b/>
          <w:bCs/>
          <w:shd w:val="clear" w:color="auto" w:fill="FFFFFF"/>
        </w:rPr>
        <w:t>g</w:t>
      </w:r>
      <w:r w:rsidR="00D47282" w:rsidRPr="00C8179F">
        <w:rPr>
          <w:rFonts w:ascii="Arial" w:hAnsi="Arial" w:cs="Arial"/>
          <w:b/>
          <w:bCs/>
          <w:shd w:val="clear" w:color="auto" w:fill="FFFFFF"/>
        </w:rPr>
        <w:t>randi (</w:t>
      </w:r>
      <w:r w:rsidR="008B7959" w:rsidRPr="00C8179F">
        <w:rPr>
          <w:rFonts w:ascii="Arial" w:hAnsi="Arial" w:cs="Arial"/>
          <w:b/>
          <w:bCs/>
          <w:shd w:val="clear" w:color="auto" w:fill="FFFFFF"/>
        </w:rPr>
        <w:t>37,1</w:t>
      </w:r>
      <w:r w:rsidR="00D47282" w:rsidRPr="00C8179F">
        <w:rPr>
          <w:rFonts w:ascii="Arial" w:hAnsi="Arial" w:cs="Arial"/>
          <w:b/>
          <w:bCs/>
          <w:shd w:val="clear" w:color="auto" w:fill="FFFFFF"/>
        </w:rPr>
        <w:t xml:space="preserve">%) e </w:t>
      </w:r>
      <w:r w:rsidR="00856729" w:rsidRPr="00C8179F">
        <w:rPr>
          <w:rFonts w:ascii="Arial" w:hAnsi="Arial" w:cs="Arial"/>
          <w:b/>
          <w:bCs/>
          <w:shd w:val="clear" w:color="auto" w:fill="FFFFFF"/>
        </w:rPr>
        <w:t>m</w:t>
      </w:r>
      <w:r w:rsidR="002701F0" w:rsidRPr="00C8179F">
        <w:rPr>
          <w:rFonts w:ascii="Arial" w:hAnsi="Arial" w:cs="Arial"/>
          <w:b/>
          <w:bCs/>
          <w:shd w:val="clear" w:color="auto" w:fill="FFFFFF"/>
        </w:rPr>
        <w:t>icro (1</w:t>
      </w:r>
      <w:r w:rsidR="008B7959" w:rsidRPr="00C8179F">
        <w:rPr>
          <w:rFonts w:ascii="Arial" w:hAnsi="Arial" w:cs="Arial"/>
          <w:b/>
          <w:bCs/>
          <w:shd w:val="clear" w:color="auto" w:fill="FFFFFF"/>
        </w:rPr>
        <w:t>5,1</w:t>
      </w:r>
      <w:r w:rsidR="002701F0" w:rsidRPr="00C8179F">
        <w:rPr>
          <w:rFonts w:ascii="Arial" w:hAnsi="Arial" w:cs="Arial"/>
          <w:b/>
          <w:bCs/>
          <w:shd w:val="clear" w:color="auto" w:fill="FFFFFF"/>
        </w:rPr>
        <w:t>%)</w:t>
      </w:r>
      <w:r w:rsidR="00D47282" w:rsidRPr="00C8179F">
        <w:rPr>
          <w:rFonts w:ascii="Arial" w:hAnsi="Arial" w:cs="Arial"/>
          <w:b/>
          <w:bCs/>
          <w:shd w:val="clear" w:color="auto" w:fill="FFFFFF"/>
        </w:rPr>
        <w:t>.</w:t>
      </w:r>
    </w:p>
    <w:p w14:paraId="2CCA2008" w14:textId="109CB59C" w:rsidR="00321740" w:rsidRPr="00C8179F" w:rsidRDefault="004A1072" w:rsidP="004A1072">
      <w:pPr>
        <w:jc w:val="center"/>
        <w:rPr>
          <w:rFonts w:ascii="Arial" w:eastAsiaTheme="minorEastAsia" w:hAnsi="Arial" w:cs="Arial"/>
          <w:b/>
          <w:bCs/>
        </w:rPr>
      </w:pPr>
      <w:r w:rsidRPr="00C8179F">
        <w:rPr>
          <w:rFonts w:ascii="Arial" w:eastAsiaTheme="minorEastAsia" w:hAnsi="Arial" w:cs="Arial"/>
          <w:b/>
          <w:bCs/>
        </w:rPr>
        <w:t>Dipendenti +3,3% nel 2021 e +7,2% nel 2022</w:t>
      </w:r>
      <w:r w:rsidR="00321740" w:rsidRPr="00C8179F">
        <w:rPr>
          <w:rFonts w:ascii="Arial" w:eastAsiaTheme="minorEastAsia" w:hAnsi="Arial" w:cs="Arial"/>
          <w:b/>
          <w:bCs/>
        </w:rPr>
        <w:t>.</w:t>
      </w:r>
    </w:p>
    <w:p w14:paraId="1A499F0C" w14:textId="77777777" w:rsidR="00F50E42" w:rsidRPr="00C8179F" w:rsidRDefault="00F50E42" w:rsidP="00F50E42">
      <w:pPr>
        <w:jc w:val="center"/>
        <w:rPr>
          <w:rFonts w:ascii="Arial" w:eastAsiaTheme="minorEastAsia" w:hAnsi="Arial" w:cs="Arial"/>
          <w:b/>
          <w:bCs/>
        </w:rPr>
      </w:pPr>
      <w:r w:rsidRPr="00C8179F">
        <w:rPr>
          <w:rFonts w:ascii="Arial" w:hAnsi="Arial" w:cs="Arial"/>
          <w:b/>
          <w:bCs/>
          <w:shd w:val="clear" w:color="auto" w:fill="FFFFFF"/>
        </w:rPr>
        <w:t xml:space="preserve">Le </w:t>
      </w:r>
      <w:r w:rsidRPr="00C8179F">
        <w:rPr>
          <w:rFonts w:ascii="Arial" w:eastAsiaTheme="minorEastAsia" w:hAnsi="Arial" w:cs="Arial"/>
          <w:b/>
          <w:bCs/>
        </w:rPr>
        <w:t xml:space="preserve">regioni </w:t>
      </w:r>
      <w:r>
        <w:rPr>
          <w:rFonts w:ascii="Arial" w:eastAsiaTheme="minorEastAsia" w:hAnsi="Arial" w:cs="Arial"/>
          <w:b/>
          <w:bCs/>
        </w:rPr>
        <w:t xml:space="preserve">con la crescita più elevata </w:t>
      </w:r>
      <w:r w:rsidRPr="00C8179F">
        <w:rPr>
          <w:rFonts w:ascii="Arial" w:eastAsiaTheme="minorEastAsia" w:hAnsi="Arial" w:cs="Arial"/>
          <w:b/>
          <w:bCs/>
        </w:rPr>
        <w:t>nel 2021 sono Lazio (+39,2%), Friuli-Venezia Giulia (+33,2%) e Sardegna (+31,3%)</w:t>
      </w:r>
    </w:p>
    <w:p w14:paraId="1567551F" w14:textId="77777777" w:rsidR="00F50E42" w:rsidRPr="00C8179F" w:rsidRDefault="00F50E42" w:rsidP="00F50E42">
      <w:pPr>
        <w:jc w:val="center"/>
        <w:rPr>
          <w:rFonts w:ascii="Arial" w:eastAsiaTheme="minorEastAsia" w:hAnsi="Arial" w:cs="Arial"/>
          <w:b/>
          <w:bCs/>
        </w:rPr>
      </w:pPr>
    </w:p>
    <w:p w14:paraId="33AE79B3" w14:textId="77777777" w:rsidR="00871C17" w:rsidRPr="00C8179F" w:rsidRDefault="00871C17" w:rsidP="00F82E6C">
      <w:pPr>
        <w:jc w:val="both"/>
        <w:textAlignment w:val="baseline"/>
        <w:outlineLvl w:val="0"/>
        <w:rPr>
          <w:rFonts w:ascii="Arial" w:eastAsia="Times New Roman" w:hAnsi="Arial" w:cs="Arial"/>
          <w:spacing w:val="30"/>
          <w:kern w:val="36"/>
          <w:lang w:eastAsia="it-IT"/>
        </w:rPr>
      </w:pPr>
    </w:p>
    <w:p w14:paraId="2A1DA3D0" w14:textId="7BE3A37D" w:rsidR="00D64FD1" w:rsidRPr="00C8179F" w:rsidRDefault="00871C17" w:rsidP="00D64FD1">
      <w:pPr>
        <w:jc w:val="both"/>
        <w:rPr>
          <w:rFonts w:ascii="Arial" w:eastAsiaTheme="minorEastAsia" w:hAnsi="Arial" w:cs="Arial"/>
        </w:rPr>
      </w:pPr>
      <w:r w:rsidRPr="00C8179F">
        <w:rPr>
          <w:rFonts w:ascii="Arial" w:eastAsia="Times New Roman" w:hAnsi="Arial" w:cs="Arial"/>
          <w:i/>
          <w:iCs/>
          <w:lang w:eastAsia="it-IT"/>
        </w:rPr>
        <w:t xml:space="preserve">Roma, </w:t>
      </w:r>
      <w:r w:rsidR="009628A2" w:rsidRPr="00C8179F">
        <w:rPr>
          <w:rFonts w:ascii="Arial" w:eastAsia="Times New Roman" w:hAnsi="Arial" w:cs="Arial"/>
          <w:i/>
          <w:iCs/>
          <w:lang w:eastAsia="it-IT"/>
        </w:rPr>
        <w:t>7</w:t>
      </w:r>
      <w:r w:rsidR="00BE1831" w:rsidRPr="00C8179F">
        <w:rPr>
          <w:rFonts w:ascii="Arial" w:eastAsia="Times New Roman" w:hAnsi="Arial" w:cs="Arial"/>
          <w:i/>
          <w:iCs/>
          <w:lang w:eastAsia="it-IT"/>
        </w:rPr>
        <w:t xml:space="preserve"> agosto</w:t>
      </w:r>
      <w:r w:rsidRPr="00C8179F">
        <w:rPr>
          <w:rFonts w:ascii="Arial" w:eastAsia="Times New Roman" w:hAnsi="Arial" w:cs="Arial"/>
          <w:i/>
          <w:iCs/>
          <w:lang w:eastAsia="it-IT"/>
        </w:rPr>
        <w:t xml:space="preserve"> 2023</w:t>
      </w:r>
      <w:r w:rsidRPr="00C8179F">
        <w:rPr>
          <w:rFonts w:ascii="Arial" w:eastAsia="Times New Roman" w:hAnsi="Arial" w:cs="Arial"/>
          <w:lang w:eastAsia="it-IT"/>
        </w:rPr>
        <w:t xml:space="preserve"> – </w:t>
      </w:r>
      <w:r w:rsidR="006E76F5" w:rsidRPr="00C8179F">
        <w:rPr>
          <w:rFonts w:ascii="Arial" w:eastAsia="Times New Roman" w:hAnsi="Arial" w:cs="Arial"/>
          <w:lang w:eastAsia="it-IT"/>
        </w:rPr>
        <w:t xml:space="preserve">Aumentano nel </w:t>
      </w:r>
      <w:r w:rsidR="006E76F5" w:rsidRPr="00C8179F">
        <w:rPr>
          <w:rFonts w:ascii="Arial" w:eastAsia="Times New Roman" w:hAnsi="Arial" w:cs="Arial"/>
          <w:b/>
          <w:bCs/>
          <w:lang w:eastAsia="it-IT"/>
        </w:rPr>
        <w:t>2022</w:t>
      </w:r>
      <w:r w:rsidR="006E76F5" w:rsidRPr="00C8179F">
        <w:rPr>
          <w:rFonts w:ascii="Arial" w:eastAsia="Times New Roman" w:hAnsi="Arial" w:cs="Arial"/>
          <w:lang w:eastAsia="it-IT"/>
        </w:rPr>
        <w:t xml:space="preserve"> i ricavi delle società di capitali, </w:t>
      </w:r>
      <w:r w:rsidR="00B87066" w:rsidRPr="00C8179F">
        <w:rPr>
          <w:rFonts w:ascii="Arial" w:eastAsia="Times New Roman" w:hAnsi="Arial" w:cs="Arial"/>
          <w:lang w:eastAsia="it-IT"/>
        </w:rPr>
        <w:t>facendo</w:t>
      </w:r>
      <w:r w:rsidR="006E76F5" w:rsidRPr="00C8179F">
        <w:rPr>
          <w:rFonts w:ascii="Arial" w:eastAsia="Times New Roman" w:hAnsi="Arial" w:cs="Arial"/>
          <w:lang w:eastAsia="it-IT"/>
        </w:rPr>
        <w:t xml:space="preserve"> registrare un </w:t>
      </w:r>
      <w:r w:rsidR="006E76F5" w:rsidRPr="00C8179F">
        <w:rPr>
          <w:rFonts w:ascii="Arial" w:eastAsia="Times New Roman" w:hAnsi="Arial" w:cs="Arial"/>
          <w:b/>
          <w:bCs/>
          <w:lang w:eastAsia="it-IT"/>
        </w:rPr>
        <w:t>incremento pari al 31,5%</w:t>
      </w:r>
      <w:r w:rsidR="006E76F5" w:rsidRPr="00C8179F">
        <w:rPr>
          <w:rFonts w:ascii="Arial" w:eastAsia="Times New Roman" w:hAnsi="Arial" w:cs="Arial"/>
          <w:lang w:eastAsia="it-IT"/>
        </w:rPr>
        <w:t xml:space="preserve">, superando </w:t>
      </w:r>
      <w:r w:rsidR="00116F76" w:rsidRPr="00C8179F">
        <w:rPr>
          <w:rFonts w:ascii="Arial" w:eastAsia="Times New Roman" w:hAnsi="Arial" w:cs="Arial"/>
          <w:lang w:eastAsia="it-IT"/>
        </w:rPr>
        <w:t xml:space="preserve">il </w:t>
      </w:r>
      <w:r w:rsidR="00116F76" w:rsidRPr="00C8179F">
        <w:rPr>
          <w:rFonts w:ascii="Arial" w:eastAsia="Times New Roman" w:hAnsi="Arial" w:cs="Arial"/>
          <w:b/>
          <w:bCs/>
          <w:lang w:eastAsia="it-IT"/>
        </w:rPr>
        <w:t>25,5%</w:t>
      </w:r>
      <w:r w:rsidR="00116F76" w:rsidRPr="00C8179F">
        <w:rPr>
          <w:rFonts w:ascii="Arial" w:eastAsia="Times New Roman" w:hAnsi="Arial" w:cs="Arial"/>
          <w:lang w:eastAsia="it-IT"/>
        </w:rPr>
        <w:t xml:space="preserve"> del </w:t>
      </w:r>
      <w:r w:rsidR="00116F76" w:rsidRPr="00C8179F">
        <w:rPr>
          <w:rFonts w:ascii="Arial" w:eastAsia="Times New Roman" w:hAnsi="Arial" w:cs="Arial"/>
          <w:b/>
          <w:bCs/>
          <w:lang w:eastAsia="it-IT"/>
        </w:rPr>
        <w:t>202</w:t>
      </w:r>
      <w:r w:rsidR="00935DC4" w:rsidRPr="00C8179F">
        <w:rPr>
          <w:rFonts w:ascii="Arial" w:eastAsia="Times New Roman" w:hAnsi="Arial" w:cs="Arial"/>
          <w:b/>
          <w:bCs/>
          <w:lang w:eastAsia="it-IT"/>
        </w:rPr>
        <w:t>1</w:t>
      </w:r>
      <w:r w:rsidR="00116F76" w:rsidRPr="00C8179F">
        <w:rPr>
          <w:rFonts w:ascii="Arial" w:eastAsia="Times New Roman" w:hAnsi="Arial" w:cs="Arial"/>
          <w:lang w:eastAsia="it-IT"/>
        </w:rPr>
        <w:t xml:space="preserve">. Il dato emerge dall’Osservatorio sui bilanci 2021-2022 della Fondazione </w:t>
      </w:r>
      <w:r w:rsidR="00ED3B51" w:rsidRPr="00C8179F">
        <w:rPr>
          <w:rFonts w:ascii="Arial" w:eastAsia="Times New Roman" w:hAnsi="Arial" w:cs="Arial"/>
          <w:lang w:eastAsia="it-IT"/>
        </w:rPr>
        <w:t>N</w:t>
      </w:r>
      <w:r w:rsidR="00116F76" w:rsidRPr="00C8179F">
        <w:rPr>
          <w:rFonts w:ascii="Arial" w:eastAsia="Times New Roman" w:hAnsi="Arial" w:cs="Arial"/>
          <w:lang w:eastAsia="it-IT"/>
        </w:rPr>
        <w:t xml:space="preserve">azionale dei </w:t>
      </w:r>
      <w:r w:rsidR="00ED3B51" w:rsidRPr="00C8179F">
        <w:rPr>
          <w:rFonts w:ascii="Arial" w:eastAsia="Times New Roman" w:hAnsi="Arial" w:cs="Arial"/>
          <w:lang w:eastAsia="it-IT"/>
        </w:rPr>
        <w:t>C</w:t>
      </w:r>
      <w:r w:rsidR="00116F76" w:rsidRPr="00C8179F">
        <w:rPr>
          <w:rFonts w:ascii="Arial" w:eastAsia="Times New Roman" w:hAnsi="Arial" w:cs="Arial"/>
          <w:lang w:eastAsia="it-IT"/>
        </w:rPr>
        <w:t>ommercialisti</w:t>
      </w:r>
      <w:r w:rsidR="00ED3B51" w:rsidRPr="00C8179F">
        <w:rPr>
          <w:rFonts w:ascii="Arial" w:eastAsia="Times New Roman" w:hAnsi="Arial" w:cs="Arial"/>
          <w:lang w:eastAsia="it-IT"/>
        </w:rPr>
        <w:t xml:space="preserve"> - Ricerca</w:t>
      </w:r>
      <w:r w:rsidR="00116F76" w:rsidRPr="00C8179F">
        <w:rPr>
          <w:rFonts w:ascii="Arial" w:eastAsia="Times New Roman" w:hAnsi="Arial" w:cs="Arial"/>
          <w:lang w:eastAsia="it-IT"/>
        </w:rPr>
        <w:t xml:space="preserve">, che ha analizzato </w:t>
      </w:r>
      <w:r w:rsidR="00BE1831" w:rsidRPr="00C8179F">
        <w:rPr>
          <w:rFonts w:ascii="Arial" w:eastAsia="Times New Roman" w:hAnsi="Arial" w:cs="Arial"/>
        </w:rPr>
        <w:t>i dati di oltre un milione di bilanci.</w:t>
      </w:r>
      <w:r w:rsidR="00D64FD1" w:rsidRPr="00C8179F">
        <w:rPr>
          <w:rFonts w:ascii="Arial" w:eastAsia="Times New Roman" w:hAnsi="Arial" w:cs="Arial"/>
        </w:rPr>
        <w:t xml:space="preserve"> </w:t>
      </w:r>
      <w:r w:rsidR="00E10DEB" w:rsidRPr="00C8179F">
        <w:rPr>
          <w:rFonts w:ascii="Arial" w:eastAsia="Times New Roman" w:hAnsi="Arial" w:cs="Arial"/>
        </w:rPr>
        <w:t>Depurat</w:t>
      </w:r>
      <w:r w:rsidR="006D1107" w:rsidRPr="00C8179F">
        <w:rPr>
          <w:rFonts w:ascii="Arial" w:eastAsia="Times New Roman" w:hAnsi="Arial" w:cs="Arial"/>
        </w:rPr>
        <w:t>o</w:t>
      </w:r>
      <w:r w:rsidR="00E10DEB" w:rsidRPr="00C8179F">
        <w:rPr>
          <w:rFonts w:ascii="Arial" w:eastAsia="Times New Roman" w:hAnsi="Arial" w:cs="Arial"/>
        </w:rPr>
        <w:t xml:space="preserve"> dalla crescita dell’inflazione, l’aumento dei ricavi 2022 è pari al 2</w:t>
      </w:r>
      <w:r w:rsidR="004A1072" w:rsidRPr="00C8179F">
        <w:rPr>
          <w:rFonts w:ascii="Arial" w:eastAsia="Times New Roman" w:hAnsi="Arial" w:cs="Arial"/>
        </w:rPr>
        <w:t>0,9</w:t>
      </w:r>
      <w:r w:rsidR="00E10DEB" w:rsidRPr="00C8179F">
        <w:rPr>
          <w:rFonts w:ascii="Arial" w:eastAsia="Times New Roman" w:hAnsi="Arial" w:cs="Arial"/>
        </w:rPr>
        <w:t>%, mentre nel 2023 è stimato a</w:t>
      </w:r>
      <w:r w:rsidR="00B709B4">
        <w:rPr>
          <w:rFonts w:ascii="Arial" w:eastAsia="Times New Roman" w:hAnsi="Arial" w:cs="Arial"/>
        </w:rPr>
        <w:t>l</w:t>
      </w:r>
      <w:r w:rsidR="00E10DEB" w:rsidRPr="00C8179F">
        <w:rPr>
          <w:rFonts w:ascii="Arial" w:eastAsia="Times New Roman" w:hAnsi="Arial" w:cs="Arial"/>
        </w:rPr>
        <w:t xml:space="preserve"> +4,2%. </w:t>
      </w:r>
      <w:r w:rsidR="00D64FD1" w:rsidRPr="00C8179F">
        <w:rPr>
          <w:rFonts w:ascii="Arial" w:eastAsiaTheme="minorEastAsia" w:hAnsi="Arial" w:cs="Arial"/>
        </w:rPr>
        <w:t>In</w:t>
      </w:r>
      <w:r w:rsidR="00E10DEB" w:rsidRPr="00C8179F">
        <w:rPr>
          <w:rFonts w:ascii="Arial" w:eastAsiaTheme="minorEastAsia" w:hAnsi="Arial" w:cs="Arial"/>
        </w:rPr>
        <w:t>oltre</w:t>
      </w:r>
      <w:r w:rsidR="00D64FD1" w:rsidRPr="00C8179F">
        <w:rPr>
          <w:rFonts w:ascii="Arial" w:eastAsiaTheme="minorEastAsia" w:hAnsi="Arial" w:cs="Arial"/>
        </w:rPr>
        <w:t xml:space="preserve">, secondo i dati dei bilanci 2021, le società di capitali nel secondo anno pandemico hanno recuperato gran parte delle perdite subite nell’esercizio precedente e, in alcuni casi, hanno anche superato i livelli </w:t>
      </w:r>
      <w:proofErr w:type="spellStart"/>
      <w:r w:rsidR="00D64FD1" w:rsidRPr="00C8179F">
        <w:rPr>
          <w:rFonts w:ascii="Arial" w:eastAsiaTheme="minorEastAsia" w:hAnsi="Arial" w:cs="Arial"/>
        </w:rPr>
        <w:t>pre</w:t>
      </w:r>
      <w:proofErr w:type="spellEnd"/>
      <w:r w:rsidR="00D64FD1" w:rsidRPr="00C8179F">
        <w:rPr>
          <w:rFonts w:ascii="Arial" w:eastAsiaTheme="minorEastAsia" w:hAnsi="Arial" w:cs="Arial"/>
        </w:rPr>
        <w:t>-Covid. Le società che hanno chiuso il bilancio in utile</w:t>
      </w:r>
      <w:r w:rsidR="00100682" w:rsidRPr="00C8179F">
        <w:rPr>
          <w:rFonts w:ascii="Arial" w:eastAsiaTheme="minorEastAsia" w:hAnsi="Arial" w:cs="Arial"/>
        </w:rPr>
        <w:t>, infatti,</w:t>
      </w:r>
      <w:r w:rsidR="00D64FD1" w:rsidRPr="00C8179F">
        <w:rPr>
          <w:rFonts w:ascii="Arial" w:eastAsiaTheme="minorEastAsia" w:hAnsi="Arial" w:cs="Arial"/>
        </w:rPr>
        <w:t xml:space="preserve"> sono passate dal 65,9% del 2020 al 75,7% del 2021.</w:t>
      </w:r>
    </w:p>
    <w:p w14:paraId="168D3801" w14:textId="77777777" w:rsidR="00D64FD1" w:rsidRPr="00C8179F" w:rsidRDefault="00D64FD1" w:rsidP="00D64FD1">
      <w:pPr>
        <w:jc w:val="both"/>
        <w:rPr>
          <w:rFonts w:ascii="Arial" w:eastAsiaTheme="minorEastAsia" w:hAnsi="Arial" w:cs="Arial"/>
        </w:rPr>
      </w:pPr>
    </w:p>
    <w:p w14:paraId="7F3FC859" w14:textId="2D71701B" w:rsidR="002704B6" w:rsidRPr="00C8179F" w:rsidRDefault="00116F76" w:rsidP="00F82E6C">
      <w:pPr>
        <w:jc w:val="both"/>
        <w:rPr>
          <w:rFonts w:ascii="Arial" w:hAnsi="Arial" w:cs="Arial"/>
        </w:rPr>
      </w:pPr>
      <w:r w:rsidRPr="00C8179F">
        <w:rPr>
          <w:rFonts w:ascii="Arial" w:eastAsia="Times New Roman" w:hAnsi="Arial" w:cs="Arial"/>
        </w:rPr>
        <w:t>Il report</w:t>
      </w:r>
      <w:r w:rsidR="00B37BF6" w:rsidRPr="00C8179F">
        <w:rPr>
          <w:rFonts w:ascii="Arial" w:eastAsia="Times New Roman" w:hAnsi="Arial" w:cs="Arial"/>
        </w:rPr>
        <w:t xml:space="preserve"> stima</w:t>
      </w:r>
      <w:r w:rsidR="00100682" w:rsidRPr="00C8179F">
        <w:rPr>
          <w:rFonts w:ascii="Arial" w:eastAsia="Times New Roman" w:hAnsi="Arial" w:cs="Arial"/>
        </w:rPr>
        <w:t xml:space="preserve">, però, anche </w:t>
      </w:r>
      <w:r w:rsidR="00BE1831" w:rsidRPr="00C8179F">
        <w:rPr>
          <w:rFonts w:ascii="Arial" w:eastAsia="Times New Roman" w:hAnsi="Arial" w:cs="Arial"/>
        </w:rPr>
        <w:t xml:space="preserve">un forte </w:t>
      </w:r>
      <w:r w:rsidR="00BE1831" w:rsidRPr="00C8179F">
        <w:rPr>
          <w:rFonts w:ascii="Arial" w:eastAsia="Times New Roman" w:hAnsi="Arial" w:cs="Arial"/>
          <w:b/>
          <w:bCs/>
        </w:rPr>
        <w:t>rallentamento della dinamica dei ricavi</w:t>
      </w:r>
      <w:r w:rsidR="00B37BF6" w:rsidRPr="00C8179F">
        <w:rPr>
          <w:rFonts w:ascii="Arial" w:eastAsia="Times New Roman" w:hAnsi="Arial" w:cs="Arial"/>
          <w:b/>
          <w:bCs/>
        </w:rPr>
        <w:t xml:space="preserve"> nel</w:t>
      </w:r>
      <w:r w:rsidR="00B37BF6" w:rsidRPr="00C8179F">
        <w:rPr>
          <w:rFonts w:ascii="Arial" w:eastAsia="Times New Roman" w:hAnsi="Arial" w:cs="Arial"/>
        </w:rPr>
        <w:t xml:space="preserve"> </w:t>
      </w:r>
      <w:r w:rsidR="00B37BF6" w:rsidRPr="00C8179F">
        <w:rPr>
          <w:rFonts w:ascii="Arial" w:eastAsia="Times New Roman" w:hAnsi="Arial" w:cs="Arial"/>
          <w:b/>
          <w:bCs/>
        </w:rPr>
        <w:t>2023</w:t>
      </w:r>
      <w:r w:rsidR="00020A2E" w:rsidRPr="00C8179F">
        <w:rPr>
          <w:rFonts w:ascii="Arial" w:eastAsia="Times New Roman" w:hAnsi="Arial" w:cs="Arial"/>
          <w:b/>
          <w:bCs/>
        </w:rPr>
        <w:t xml:space="preserve"> (+10,5%</w:t>
      </w:r>
      <w:r w:rsidR="003D44AF" w:rsidRPr="00C8179F">
        <w:rPr>
          <w:rFonts w:ascii="Arial" w:eastAsia="Times New Roman" w:hAnsi="Arial" w:cs="Arial"/>
          <w:b/>
          <w:bCs/>
        </w:rPr>
        <w:t xml:space="preserve"> nominale e +4,2% reale</w:t>
      </w:r>
      <w:r w:rsidR="00020A2E" w:rsidRPr="00C8179F">
        <w:rPr>
          <w:rFonts w:ascii="Arial" w:eastAsia="Times New Roman" w:hAnsi="Arial" w:cs="Arial"/>
          <w:b/>
          <w:bCs/>
        </w:rPr>
        <w:t xml:space="preserve">) </w:t>
      </w:r>
      <w:r w:rsidR="00B37BF6" w:rsidRPr="00C8179F">
        <w:rPr>
          <w:rFonts w:ascii="Arial" w:eastAsia="Times New Roman" w:hAnsi="Arial" w:cs="Arial"/>
        </w:rPr>
        <w:t xml:space="preserve">rispetto ai due anni precedenti </w:t>
      </w:r>
      <w:r w:rsidR="0039121B" w:rsidRPr="00C8179F">
        <w:rPr>
          <w:rFonts w:ascii="Arial" w:eastAsia="Times New Roman" w:hAnsi="Arial" w:cs="Arial"/>
        </w:rPr>
        <w:t xml:space="preserve">e </w:t>
      </w:r>
      <w:r w:rsidR="00BE1831" w:rsidRPr="00C8179F">
        <w:rPr>
          <w:rFonts w:ascii="Arial" w:eastAsia="Times New Roman" w:hAnsi="Arial" w:cs="Arial"/>
        </w:rPr>
        <w:t>che</w:t>
      </w:r>
      <w:r w:rsidR="00AF51BD" w:rsidRPr="00C8179F">
        <w:rPr>
          <w:rFonts w:ascii="Arial" w:eastAsia="Times New Roman" w:hAnsi="Arial" w:cs="Arial"/>
        </w:rPr>
        <w:t xml:space="preserve">, </w:t>
      </w:r>
      <w:r w:rsidR="00BE1831" w:rsidRPr="00C8179F">
        <w:rPr>
          <w:rFonts w:ascii="Arial" w:eastAsia="Times New Roman" w:hAnsi="Arial" w:cs="Arial"/>
        </w:rPr>
        <w:t>alla luce delle tendenze macroeconomiche in atto, p</w:t>
      </w:r>
      <w:r w:rsidR="00AF51BD" w:rsidRPr="00C8179F">
        <w:rPr>
          <w:rFonts w:ascii="Arial" w:eastAsia="Times New Roman" w:hAnsi="Arial" w:cs="Arial"/>
        </w:rPr>
        <w:t>otrebbe</w:t>
      </w:r>
      <w:r w:rsidR="00BE1831" w:rsidRPr="00C8179F">
        <w:rPr>
          <w:rFonts w:ascii="Arial" w:eastAsia="Times New Roman" w:hAnsi="Arial" w:cs="Arial"/>
        </w:rPr>
        <w:t xml:space="preserve"> trasformarsi in una </w:t>
      </w:r>
      <w:r w:rsidR="00BE1831" w:rsidRPr="00B709B4">
        <w:rPr>
          <w:rFonts w:ascii="Arial" w:eastAsia="Times New Roman" w:hAnsi="Arial" w:cs="Arial"/>
          <w:b/>
          <w:bCs/>
        </w:rPr>
        <w:t>contrazione secca per il 2024</w:t>
      </w:r>
      <w:r w:rsidR="00BE1831" w:rsidRPr="00C8179F">
        <w:rPr>
          <w:rFonts w:ascii="Arial" w:eastAsia="Times New Roman" w:hAnsi="Arial" w:cs="Arial"/>
        </w:rPr>
        <w:t>.</w:t>
      </w:r>
      <w:r w:rsidR="002704B6" w:rsidRPr="00C8179F">
        <w:rPr>
          <w:rFonts w:ascii="Arial" w:eastAsia="Times New Roman" w:hAnsi="Arial" w:cs="Arial"/>
        </w:rPr>
        <w:t xml:space="preserve"> </w:t>
      </w:r>
      <w:r w:rsidR="002704B6" w:rsidRPr="00C8179F">
        <w:rPr>
          <w:rFonts w:ascii="Arial" w:hAnsi="Arial" w:cs="Arial"/>
        </w:rPr>
        <w:t xml:space="preserve">Le società che chiuderanno il bilancio in utile, di conseguenza, potrebbero subire un calo importante. </w:t>
      </w:r>
      <w:r w:rsidR="003A2120" w:rsidRPr="00C8179F">
        <w:rPr>
          <w:rFonts w:ascii="Arial" w:hAnsi="Arial" w:cs="Arial"/>
        </w:rPr>
        <w:t xml:space="preserve">I commercialisti segnalano pertanto un probabile incremento dell’indebitamento e, soprattutto, del costo del debito che peserà in parte sui margini, invitando </w:t>
      </w:r>
      <w:r w:rsidR="00BE1831" w:rsidRPr="00C8179F">
        <w:rPr>
          <w:rFonts w:ascii="Arial" w:eastAsia="Times New Roman" w:hAnsi="Arial" w:cs="Arial"/>
        </w:rPr>
        <w:t>a</w:t>
      </w:r>
      <w:r w:rsidR="002704B6" w:rsidRPr="00C8179F">
        <w:rPr>
          <w:rFonts w:ascii="Arial" w:hAnsi="Arial" w:cs="Arial"/>
        </w:rPr>
        <w:t xml:space="preserve"> prestare la </w:t>
      </w:r>
      <w:r w:rsidR="002704B6" w:rsidRPr="00C8179F">
        <w:rPr>
          <w:rFonts w:ascii="Arial" w:hAnsi="Arial" w:cs="Arial"/>
          <w:b/>
          <w:bCs/>
        </w:rPr>
        <w:t>massima prudenza nelle politiche di bilancio</w:t>
      </w:r>
      <w:r w:rsidR="002704B6" w:rsidRPr="00C8179F">
        <w:rPr>
          <w:rFonts w:ascii="Arial" w:hAnsi="Arial" w:cs="Arial"/>
        </w:rPr>
        <w:t xml:space="preserve"> a partire da</w:t>
      </w:r>
      <w:r w:rsidR="00E33D05" w:rsidRPr="00C8179F">
        <w:rPr>
          <w:rFonts w:ascii="Arial" w:hAnsi="Arial" w:cs="Arial"/>
        </w:rPr>
        <w:t xml:space="preserve"> quest</w:t>
      </w:r>
      <w:r w:rsidR="002704B6" w:rsidRPr="00C8179F">
        <w:rPr>
          <w:rFonts w:ascii="Arial" w:hAnsi="Arial" w:cs="Arial"/>
        </w:rPr>
        <w:t>’anno nell’ambito delle regole in tema di assetti organizzativi, amministrativi e contabili.</w:t>
      </w:r>
    </w:p>
    <w:p w14:paraId="4CCBC00C" w14:textId="77777777" w:rsidR="00EE3729" w:rsidRPr="00C8179F" w:rsidRDefault="00EE3729" w:rsidP="00F82E6C">
      <w:pPr>
        <w:jc w:val="both"/>
        <w:rPr>
          <w:rFonts w:ascii="Arial" w:eastAsia="Times New Roman" w:hAnsi="Arial" w:cs="Arial"/>
          <w:b/>
          <w:bCs/>
        </w:rPr>
      </w:pPr>
    </w:p>
    <w:p w14:paraId="098B9380" w14:textId="72532111" w:rsidR="00EE3729" w:rsidRPr="00C8179F" w:rsidRDefault="00F628B0" w:rsidP="00F82E6C">
      <w:pPr>
        <w:jc w:val="both"/>
        <w:rPr>
          <w:rFonts w:ascii="Arial" w:eastAsiaTheme="minorEastAsia" w:hAnsi="Arial" w:cs="Arial"/>
          <w:b/>
          <w:bCs/>
        </w:rPr>
      </w:pPr>
      <w:r w:rsidRPr="00C8179F">
        <w:rPr>
          <w:rFonts w:ascii="Arial" w:eastAsiaTheme="minorEastAsia" w:hAnsi="Arial" w:cs="Arial"/>
          <w:b/>
          <w:bCs/>
        </w:rPr>
        <w:t xml:space="preserve">LA </w:t>
      </w:r>
      <w:r w:rsidR="00EE3729" w:rsidRPr="00C8179F">
        <w:rPr>
          <w:rFonts w:ascii="Arial" w:eastAsiaTheme="minorEastAsia" w:hAnsi="Arial" w:cs="Arial"/>
          <w:b/>
          <w:bCs/>
        </w:rPr>
        <w:t xml:space="preserve">DIMENSIONE DELLE IMPRESE E </w:t>
      </w:r>
      <w:r w:rsidRPr="00C8179F">
        <w:rPr>
          <w:rFonts w:ascii="Arial" w:eastAsiaTheme="minorEastAsia" w:hAnsi="Arial" w:cs="Arial"/>
          <w:b/>
          <w:bCs/>
        </w:rPr>
        <w:t xml:space="preserve">IL </w:t>
      </w:r>
      <w:r w:rsidR="00EE3729" w:rsidRPr="00C8179F">
        <w:rPr>
          <w:rFonts w:ascii="Arial" w:eastAsiaTheme="minorEastAsia" w:hAnsi="Arial" w:cs="Arial"/>
          <w:b/>
          <w:bCs/>
        </w:rPr>
        <w:t>FATTURATO</w:t>
      </w:r>
    </w:p>
    <w:p w14:paraId="2277C978" w14:textId="39B2175C" w:rsidR="00D00491" w:rsidRPr="00C8179F" w:rsidRDefault="00EA0E6A" w:rsidP="00F82E6C">
      <w:pPr>
        <w:jc w:val="both"/>
        <w:rPr>
          <w:rFonts w:ascii="Arial" w:eastAsiaTheme="minorEastAsia" w:hAnsi="Arial" w:cs="Arial"/>
        </w:rPr>
      </w:pPr>
      <w:r w:rsidRPr="00C8179F">
        <w:rPr>
          <w:rFonts w:ascii="Arial" w:eastAsiaTheme="minorEastAsia" w:hAnsi="Arial" w:cs="Arial"/>
        </w:rPr>
        <w:t>Guardando alla dimensione delle imprese analizzate, d</w:t>
      </w:r>
      <w:r w:rsidR="00D00491" w:rsidRPr="00C8179F">
        <w:rPr>
          <w:rFonts w:ascii="Arial" w:eastAsiaTheme="minorEastAsia" w:hAnsi="Arial" w:cs="Arial"/>
        </w:rPr>
        <w:t>ai dati dei bilanci 2021-2022 emerge che</w:t>
      </w:r>
      <w:r w:rsidR="00B90A8D" w:rsidRPr="00C8179F">
        <w:rPr>
          <w:rFonts w:ascii="Arial" w:eastAsiaTheme="minorEastAsia" w:hAnsi="Arial" w:cs="Arial"/>
        </w:rPr>
        <w:t xml:space="preserve"> a realizzare la maggior parte del fatturato totale sono</w:t>
      </w:r>
      <w:r w:rsidR="00D00491" w:rsidRPr="00C8179F">
        <w:rPr>
          <w:rFonts w:ascii="Arial" w:eastAsiaTheme="minorEastAsia" w:hAnsi="Arial" w:cs="Arial"/>
        </w:rPr>
        <w:t xml:space="preserve"> le</w:t>
      </w:r>
      <w:r w:rsidR="00B90A8D" w:rsidRPr="00C8179F">
        <w:rPr>
          <w:rFonts w:ascii="Arial" w:eastAsiaTheme="minorEastAsia" w:hAnsi="Arial" w:cs="Arial"/>
        </w:rPr>
        <w:t xml:space="preserve"> </w:t>
      </w:r>
      <w:r w:rsidR="00B90A8D" w:rsidRPr="00C8179F">
        <w:rPr>
          <w:rFonts w:ascii="Arial" w:eastAsiaTheme="minorEastAsia" w:hAnsi="Arial" w:cs="Arial"/>
          <w:b/>
          <w:bCs/>
        </w:rPr>
        <w:t>P</w:t>
      </w:r>
      <w:r w:rsidR="00856729" w:rsidRPr="00C8179F">
        <w:rPr>
          <w:rFonts w:ascii="Arial" w:eastAsiaTheme="minorEastAsia" w:hAnsi="Arial" w:cs="Arial"/>
          <w:b/>
          <w:bCs/>
        </w:rPr>
        <w:t>mi</w:t>
      </w:r>
      <w:r w:rsidR="00B90A8D" w:rsidRPr="00C8179F">
        <w:rPr>
          <w:rFonts w:ascii="Arial" w:eastAsiaTheme="minorEastAsia" w:hAnsi="Arial" w:cs="Arial"/>
          <w:b/>
          <w:bCs/>
        </w:rPr>
        <w:t xml:space="preserve"> </w:t>
      </w:r>
      <w:r w:rsidR="00B90A8D" w:rsidRPr="00C8179F">
        <w:rPr>
          <w:rFonts w:ascii="Arial" w:eastAsiaTheme="minorEastAsia" w:hAnsi="Arial" w:cs="Arial"/>
        </w:rPr>
        <w:t>(</w:t>
      </w:r>
      <w:r w:rsidR="00B90A8D" w:rsidRPr="00C8179F">
        <w:rPr>
          <w:rFonts w:ascii="Arial" w:eastAsiaTheme="minorEastAsia" w:hAnsi="Arial" w:cs="Arial"/>
          <w:b/>
          <w:bCs/>
        </w:rPr>
        <w:t>4</w:t>
      </w:r>
      <w:r w:rsidR="00261590" w:rsidRPr="00C8179F">
        <w:rPr>
          <w:rFonts w:ascii="Arial" w:eastAsiaTheme="minorEastAsia" w:hAnsi="Arial" w:cs="Arial"/>
          <w:b/>
          <w:bCs/>
        </w:rPr>
        <w:t>7,8</w:t>
      </w:r>
      <w:r w:rsidR="00B90A8D" w:rsidRPr="00C8179F">
        <w:rPr>
          <w:rFonts w:ascii="Arial" w:eastAsiaTheme="minorEastAsia" w:hAnsi="Arial" w:cs="Arial"/>
          <w:b/>
          <w:bCs/>
        </w:rPr>
        <w:t>%</w:t>
      </w:r>
      <w:r w:rsidR="00B90A8D" w:rsidRPr="00C8179F">
        <w:rPr>
          <w:rFonts w:ascii="Arial" w:eastAsiaTheme="minorEastAsia" w:hAnsi="Arial" w:cs="Arial"/>
        </w:rPr>
        <w:t xml:space="preserve">), che rappresentano il 16% delle imprese e coprono il 47,8% dei dipendenti, seguite dalle </w:t>
      </w:r>
      <w:r w:rsidR="00B90A8D" w:rsidRPr="00C8179F">
        <w:rPr>
          <w:rFonts w:ascii="Arial" w:eastAsiaTheme="minorEastAsia" w:hAnsi="Arial" w:cs="Arial"/>
          <w:b/>
          <w:bCs/>
        </w:rPr>
        <w:t>grandi imprese</w:t>
      </w:r>
      <w:r w:rsidR="00B90A8D" w:rsidRPr="00C8179F">
        <w:rPr>
          <w:rFonts w:ascii="Arial" w:eastAsiaTheme="minorEastAsia" w:hAnsi="Arial" w:cs="Arial"/>
        </w:rPr>
        <w:t xml:space="preserve"> (</w:t>
      </w:r>
      <w:r w:rsidR="00B90A8D" w:rsidRPr="00C8179F">
        <w:rPr>
          <w:rFonts w:ascii="Arial" w:eastAsiaTheme="minorEastAsia" w:hAnsi="Arial" w:cs="Arial"/>
          <w:b/>
          <w:bCs/>
        </w:rPr>
        <w:t>3</w:t>
      </w:r>
      <w:r w:rsidR="00261590" w:rsidRPr="00C8179F">
        <w:rPr>
          <w:rFonts w:ascii="Arial" w:eastAsiaTheme="minorEastAsia" w:hAnsi="Arial" w:cs="Arial"/>
          <w:b/>
          <w:bCs/>
        </w:rPr>
        <w:t>7</w:t>
      </w:r>
      <w:r w:rsidR="00B90A8D" w:rsidRPr="00C8179F">
        <w:rPr>
          <w:rFonts w:ascii="Arial" w:eastAsiaTheme="minorEastAsia" w:hAnsi="Arial" w:cs="Arial"/>
          <w:b/>
          <w:bCs/>
        </w:rPr>
        <w:t>,</w:t>
      </w:r>
      <w:r w:rsidR="00261590" w:rsidRPr="00C8179F">
        <w:rPr>
          <w:rFonts w:ascii="Arial" w:eastAsiaTheme="minorEastAsia" w:hAnsi="Arial" w:cs="Arial"/>
          <w:b/>
          <w:bCs/>
        </w:rPr>
        <w:t>1</w:t>
      </w:r>
      <w:r w:rsidR="00B90A8D" w:rsidRPr="00C8179F">
        <w:rPr>
          <w:rFonts w:ascii="Arial" w:eastAsiaTheme="minorEastAsia" w:hAnsi="Arial" w:cs="Arial"/>
          <w:b/>
          <w:bCs/>
        </w:rPr>
        <w:t>%</w:t>
      </w:r>
      <w:r w:rsidR="00B90A8D" w:rsidRPr="00C8179F">
        <w:rPr>
          <w:rFonts w:ascii="Arial" w:eastAsiaTheme="minorEastAsia" w:hAnsi="Arial" w:cs="Arial"/>
        </w:rPr>
        <w:t>) che sono lo 0,4% e occupano il 35,5% dei dipendenti. In</w:t>
      </w:r>
      <w:r w:rsidR="007F482C" w:rsidRPr="00C8179F">
        <w:rPr>
          <w:rFonts w:ascii="Arial" w:eastAsiaTheme="minorEastAsia" w:hAnsi="Arial" w:cs="Arial"/>
        </w:rPr>
        <w:t xml:space="preserve"> fondo si trovano </w:t>
      </w:r>
      <w:r w:rsidR="00B90A8D" w:rsidRPr="00C8179F">
        <w:rPr>
          <w:rFonts w:ascii="Arial" w:eastAsiaTheme="minorEastAsia" w:hAnsi="Arial" w:cs="Arial"/>
        </w:rPr>
        <w:t xml:space="preserve">le </w:t>
      </w:r>
      <w:r w:rsidR="00B90A8D" w:rsidRPr="00C8179F">
        <w:rPr>
          <w:rFonts w:ascii="Arial" w:eastAsiaTheme="minorEastAsia" w:hAnsi="Arial" w:cs="Arial"/>
          <w:b/>
          <w:bCs/>
        </w:rPr>
        <w:t>microimprese</w:t>
      </w:r>
      <w:r w:rsidR="00B90A8D" w:rsidRPr="00C8179F">
        <w:rPr>
          <w:rFonts w:ascii="Arial" w:eastAsiaTheme="minorEastAsia" w:hAnsi="Arial" w:cs="Arial"/>
        </w:rPr>
        <w:t xml:space="preserve"> (</w:t>
      </w:r>
      <w:r w:rsidR="00B90A8D" w:rsidRPr="00C8179F">
        <w:rPr>
          <w:rFonts w:ascii="Arial" w:eastAsiaTheme="minorEastAsia" w:hAnsi="Arial" w:cs="Arial"/>
          <w:b/>
          <w:bCs/>
        </w:rPr>
        <w:t>1</w:t>
      </w:r>
      <w:r w:rsidR="00261590" w:rsidRPr="00C8179F">
        <w:rPr>
          <w:rFonts w:ascii="Arial" w:eastAsiaTheme="minorEastAsia" w:hAnsi="Arial" w:cs="Arial"/>
          <w:b/>
          <w:bCs/>
        </w:rPr>
        <w:t>5</w:t>
      </w:r>
      <w:r w:rsidR="00B90A8D" w:rsidRPr="00C8179F">
        <w:rPr>
          <w:rFonts w:ascii="Arial" w:eastAsiaTheme="minorEastAsia" w:hAnsi="Arial" w:cs="Arial"/>
          <w:b/>
          <w:bCs/>
        </w:rPr>
        <w:t>,</w:t>
      </w:r>
      <w:r w:rsidR="00261590" w:rsidRPr="00C8179F">
        <w:rPr>
          <w:rFonts w:ascii="Arial" w:eastAsiaTheme="minorEastAsia" w:hAnsi="Arial" w:cs="Arial"/>
          <w:b/>
          <w:bCs/>
        </w:rPr>
        <w:t>1</w:t>
      </w:r>
      <w:r w:rsidR="00B90A8D" w:rsidRPr="00C8179F">
        <w:rPr>
          <w:rFonts w:ascii="Arial" w:eastAsiaTheme="minorEastAsia" w:hAnsi="Arial" w:cs="Arial"/>
          <w:b/>
          <w:bCs/>
        </w:rPr>
        <w:t>%</w:t>
      </w:r>
      <w:r w:rsidR="00B90A8D" w:rsidRPr="00C8179F">
        <w:rPr>
          <w:rFonts w:ascii="Arial" w:eastAsiaTheme="minorEastAsia" w:hAnsi="Arial" w:cs="Arial"/>
        </w:rPr>
        <w:t xml:space="preserve">), che </w:t>
      </w:r>
      <w:r w:rsidR="00D00491" w:rsidRPr="00C8179F">
        <w:rPr>
          <w:rFonts w:ascii="Arial" w:eastAsiaTheme="minorEastAsia" w:hAnsi="Arial" w:cs="Arial"/>
        </w:rPr>
        <w:t>rappresentano l’83,6% di tutte le società</w:t>
      </w:r>
      <w:r w:rsidR="00B90A8D" w:rsidRPr="00C8179F">
        <w:rPr>
          <w:rFonts w:ascii="Arial" w:eastAsiaTheme="minorEastAsia" w:hAnsi="Arial" w:cs="Arial"/>
        </w:rPr>
        <w:t xml:space="preserve"> e</w:t>
      </w:r>
      <w:r w:rsidR="00D00491" w:rsidRPr="00C8179F">
        <w:rPr>
          <w:rFonts w:ascii="Arial" w:eastAsiaTheme="minorEastAsia" w:hAnsi="Arial" w:cs="Arial"/>
        </w:rPr>
        <w:t xml:space="preserve"> occupano il 16,6% di tutti i dipendenti</w:t>
      </w:r>
      <w:r w:rsidR="00B90A8D" w:rsidRPr="00C8179F">
        <w:rPr>
          <w:rFonts w:ascii="Arial" w:eastAsiaTheme="minorEastAsia" w:hAnsi="Arial" w:cs="Arial"/>
        </w:rPr>
        <w:t>.</w:t>
      </w:r>
      <w:r w:rsidR="00D00491" w:rsidRPr="00C8179F">
        <w:rPr>
          <w:rFonts w:ascii="Arial" w:eastAsiaTheme="minorEastAsia" w:hAnsi="Arial" w:cs="Arial"/>
        </w:rPr>
        <w:t xml:space="preserve"> </w:t>
      </w:r>
    </w:p>
    <w:p w14:paraId="7331BFDD" w14:textId="77777777" w:rsidR="00752EB4" w:rsidRPr="00C8179F" w:rsidRDefault="00752EB4" w:rsidP="00F82E6C">
      <w:pPr>
        <w:jc w:val="both"/>
        <w:rPr>
          <w:rFonts w:ascii="Arial" w:eastAsiaTheme="minorEastAsia" w:hAnsi="Arial" w:cs="Arial"/>
        </w:rPr>
      </w:pPr>
    </w:p>
    <w:p w14:paraId="0074C971" w14:textId="77777777" w:rsidR="00752EB4" w:rsidRPr="00C8179F" w:rsidRDefault="00752EB4" w:rsidP="00752EB4">
      <w:pPr>
        <w:jc w:val="both"/>
        <w:rPr>
          <w:rFonts w:ascii="Arial" w:eastAsiaTheme="minorEastAsia" w:hAnsi="Arial" w:cs="Arial"/>
          <w:b/>
          <w:bCs/>
        </w:rPr>
      </w:pPr>
      <w:r w:rsidRPr="00C8179F">
        <w:rPr>
          <w:rFonts w:ascii="Arial" w:eastAsiaTheme="minorEastAsia" w:hAnsi="Arial" w:cs="Arial"/>
          <w:b/>
          <w:bCs/>
        </w:rPr>
        <w:t xml:space="preserve">I SETTORI DI ATTIVITÀ </w:t>
      </w:r>
    </w:p>
    <w:p w14:paraId="569A81DC" w14:textId="40EB94DF" w:rsidR="00752EB4" w:rsidRPr="00C8179F" w:rsidRDefault="00752EB4" w:rsidP="00F82E6C">
      <w:pPr>
        <w:jc w:val="both"/>
        <w:rPr>
          <w:rFonts w:ascii="Arial" w:eastAsiaTheme="minorEastAsia" w:hAnsi="Arial" w:cs="Arial"/>
        </w:rPr>
      </w:pPr>
      <w:r w:rsidRPr="00C8179F">
        <w:rPr>
          <w:rFonts w:ascii="Arial" w:hAnsi="Arial" w:cs="Arial"/>
        </w:rPr>
        <w:t xml:space="preserve">Con riferimento ai settori di attività, nel 2022, i ricavi crescono in maniera più sostenuta nei </w:t>
      </w:r>
      <w:r w:rsidRPr="00C8179F">
        <w:rPr>
          <w:rFonts w:ascii="Arial" w:hAnsi="Arial" w:cs="Arial"/>
          <w:b/>
          <w:bCs/>
        </w:rPr>
        <w:t>servizi</w:t>
      </w:r>
      <w:r w:rsidRPr="00C8179F">
        <w:rPr>
          <w:rFonts w:ascii="Arial" w:hAnsi="Arial" w:cs="Arial"/>
        </w:rPr>
        <w:t xml:space="preserve"> rispetto all’</w:t>
      </w:r>
      <w:r w:rsidRPr="00C8179F">
        <w:rPr>
          <w:rFonts w:ascii="Arial" w:hAnsi="Arial" w:cs="Arial"/>
          <w:b/>
          <w:bCs/>
        </w:rPr>
        <w:t>industria</w:t>
      </w:r>
      <w:r w:rsidRPr="00C8179F">
        <w:rPr>
          <w:rFonts w:ascii="Arial" w:hAnsi="Arial" w:cs="Arial"/>
        </w:rPr>
        <w:t xml:space="preserve">. In particolare, le imprese operanti nei settori </w:t>
      </w:r>
      <w:r w:rsidRPr="00C8179F">
        <w:rPr>
          <w:rFonts w:ascii="Arial" w:hAnsi="Arial" w:cs="Arial"/>
          <w:b/>
          <w:bCs/>
        </w:rPr>
        <w:t>alloggio e ristorazione</w:t>
      </w:r>
      <w:r w:rsidRPr="00C8179F">
        <w:rPr>
          <w:rFonts w:ascii="Arial" w:hAnsi="Arial" w:cs="Arial"/>
        </w:rPr>
        <w:t xml:space="preserve"> presentano una crescita del fatturato superiore al 50%, mentre tra le </w:t>
      </w:r>
      <w:r w:rsidRPr="00C8179F">
        <w:rPr>
          <w:rFonts w:ascii="Arial" w:hAnsi="Arial" w:cs="Arial"/>
          <w:b/>
          <w:bCs/>
        </w:rPr>
        <w:t>imprese industriali</w:t>
      </w:r>
      <w:r w:rsidRPr="00C8179F">
        <w:rPr>
          <w:rFonts w:ascii="Arial" w:hAnsi="Arial" w:cs="Arial"/>
        </w:rPr>
        <w:t xml:space="preserve"> si registra un tasso di crescita al di sotto del 20%. Tra le imprese dei </w:t>
      </w:r>
      <w:r w:rsidRPr="00C8179F">
        <w:rPr>
          <w:rFonts w:ascii="Arial" w:hAnsi="Arial" w:cs="Arial"/>
          <w:b/>
          <w:bCs/>
        </w:rPr>
        <w:t>servizi</w:t>
      </w:r>
      <w:r w:rsidRPr="00C8179F">
        <w:rPr>
          <w:rFonts w:ascii="Arial" w:hAnsi="Arial" w:cs="Arial"/>
        </w:rPr>
        <w:t xml:space="preserve">, da segnalare anche la crescita più bassa dei ricavi delle imprese del </w:t>
      </w:r>
      <w:r w:rsidRPr="00C8179F">
        <w:rPr>
          <w:rFonts w:ascii="Arial" w:hAnsi="Arial" w:cs="Arial"/>
          <w:b/>
          <w:bCs/>
        </w:rPr>
        <w:t>commercio</w:t>
      </w:r>
      <w:r w:rsidRPr="00C8179F">
        <w:rPr>
          <w:rFonts w:ascii="Arial" w:hAnsi="Arial" w:cs="Arial"/>
        </w:rPr>
        <w:t xml:space="preserve"> (+15,2%). Nel 2021, invece, l’aumento generalizzato dei ricavi ha riguardato, in particolare, il settore </w:t>
      </w:r>
      <w:r w:rsidRPr="00C8179F">
        <w:rPr>
          <w:rFonts w:ascii="Arial" w:hAnsi="Arial" w:cs="Arial"/>
          <w:b/>
          <w:bCs/>
        </w:rPr>
        <w:t>energia, acqua e rifiuti</w:t>
      </w:r>
      <w:r w:rsidRPr="00C8179F">
        <w:rPr>
          <w:rFonts w:ascii="Arial" w:hAnsi="Arial" w:cs="Arial"/>
        </w:rPr>
        <w:t xml:space="preserve"> (+54,7%), seguito dall’</w:t>
      </w:r>
      <w:r w:rsidRPr="00C8179F">
        <w:rPr>
          <w:rFonts w:ascii="Arial" w:hAnsi="Arial" w:cs="Arial"/>
          <w:b/>
          <w:bCs/>
        </w:rPr>
        <w:t>industria estrattiva</w:t>
      </w:r>
      <w:r w:rsidRPr="00C8179F">
        <w:rPr>
          <w:rFonts w:ascii="Arial" w:hAnsi="Arial" w:cs="Arial"/>
        </w:rPr>
        <w:t xml:space="preserve"> (47,2%) e, al terzo posto, da </w:t>
      </w:r>
      <w:r w:rsidRPr="00C8179F">
        <w:rPr>
          <w:rFonts w:ascii="Arial" w:hAnsi="Arial" w:cs="Arial"/>
          <w:b/>
          <w:bCs/>
        </w:rPr>
        <w:t>ristoranti e alberghi</w:t>
      </w:r>
      <w:r w:rsidRPr="00C8179F">
        <w:rPr>
          <w:rFonts w:ascii="Arial" w:hAnsi="Arial" w:cs="Arial"/>
        </w:rPr>
        <w:t xml:space="preserve"> (+37,7%). Anche il settore delle </w:t>
      </w:r>
      <w:r w:rsidRPr="00C8179F">
        <w:rPr>
          <w:rFonts w:ascii="Arial" w:hAnsi="Arial" w:cs="Arial"/>
          <w:b/>
          <w:bCs/>
        </w:rPr>
        <w:t xml:space="preserve">costruzioni </w:t>
      </w:r>
      <w:r w:rsidRPr="00C8179F">
        <w:rPr>
          <w:rFonts w:ascii="Arial" w:hAnsi="Arial" w:cs="Arial"/>
        </w:rPr>
        <w:t>evidenzia un’ottima performance (+33,4%), mentre l’</w:t>
      </w:r>
      <w:r w:rsidRPr="00C8179F">
        <w:rPr>
          <w:rFonts w:ascii="Arial" w:hAnsi="Arial" w:cs="Arial"/>
          <w:b/>
          <w:bCs/>
        </w:rPr>
        <w:t>industria manifatturiera</w:t>
      </w:r>
      <w:r w:rsidRPr="00C8179F">
        <w:rPr>
          <w:rFonts w:ascii="Arial" w:hAnsi="Arial" w:cs="Arial"/>
        </w:rPr>
        <w:t xml:space="preserve"> mostra una crescita del 25,7%. Il settore con l’incremento più contenuto è </w:t>
      </w:r>
      <w:r w:rsidRPr="00C8179F">
        <w:rPr>
          <w:rFonts w:ascii="Arial" w:hAnsi="Arial" w:cs="Arial"/>
          <w:b/>
          <w:bCs/>
        </w:rPr>
        <w:t>editoria, cinema e telecomunicazioni</w:t>
      </w:r>
      <w:r w:rsidRPr="00C8179F">
        <w:rPr>
          <w:rFonts w:ascii="Arial" w:hAnsi="Arial" w:cs="Arial"/>
        </w:rPr>
        <w:t xml:space="preserve"> (+4,1%), mentre </w:t>
      </w:r>
      <w:r w:rsidRPr="00C8179F">
        <w:rPr>
          <w:rFonts w:ascii="Arial" w:hAnsi="Arial" w:cs="Arial"/>
          <w:b/>
          <w:bCs/>
        </w:rPr>
        <w:t>arte e cultura</w:t>
      </w:r>
      <w:r w:rsidRPr="00C8179F">
        <w:rPr>
          <w:rFonts w:ascii="Arial" w:hAnsi="Arial" w:cs="Arial"/>
        </w:rPr>
        <w:t xml:space="preserve"> fa registrare +36,7%.</w:t>
      </w:r>
    </w:p>
    <w:p w14:paraId="17D540E5" w14:textId="77777777" w:rsidR="00EE3729" w:rsidRPr="00C8179F" w:rsidRDefault="00EE3729" w:rsidP="00F82E6C">
      <w:pPr>
        <w:jc w:val="both"/>
        <w:rPr>
          <w:rFonts w:ascii="Arial" w:eastAsiaTheme="minorEastAsia" w:hAnsi="Arial" w:cs="Arial"/>
        </w:rPr>
      </w:pPr>
    </w:p>
    <w:p w14:paraId="6BE009EC" w14:textId="77777777" w:rsidR="006C5EA3" w:rsidRDefault="006C5EA3" w:rsidP="00F82E6C">
      <w:pPr>
        <w:jc w:val="both"/>
        <w:rPr>
          <w:rFonts w:ascii="Arial" w:eastAsiaTheme="minorEastAsia" w:hAnsi="Arial" w:cs="Arial"/>
          <w:b/>
          <w:bCs/>
        </w:rPr>
      </w:pPr>
    </w:p>
    <w:p w14:paraId="7A619FD4" w14:textId="77777777" w:rsidR="006C5EA3" w:rsidRDefault="006C5EA3" w:rsidP="00F82E6C">
      <w:pPr>
        <w:jc w:val="both"/>
        <w:rPr>
          <w:rFonts w:ascii="Arial" w:eastAsiaTheme="minorEastAsia" w:hAnsi="Arial" w:cs="Arial"/>
          <w:b/>
          <w:bCs/>
        </w:rPr>
      </w:pPr>
    </w:p>
    <w:p w14:paraId="6746D931" w14:textId="77777777" w:rsidR="006C5EA3" w:rsidRDefault="006C5EA3" w:rsidP="00F82E6C">
      <w:pPr>
        <w:jc w:val="both"/>
        <w:rPr>
          <w:rFonts w:ascii="Arial" w:eastAsiaTheme="minorEastAsia" w:hAnsi="Arial" w:cs="Arial"/>
          <w:b/>
          <w:bCs/>
        </w:rPr>
      </w:pPr>
    </w:p>
    <w:p w14:paraId="08969FFB" w14:textId="0E3D7890" w:rsidR="00EE3729" w:rsidRPr="00C8179F" w:rsidRDefault="00EE3729" w:rsidP="00F82E6C">
      <w:pPr>
        <w:jc w:val="both"/>
        <w:rPr>
          <w:rFonts w:ascii="Arial" w:eastAsiaTheme="minorEastAsia" w:hAnsi="Arial" w:cs="Arial"/>
          <w:b/>
          <w:bCs/>
        </w:rPr>
      </w:pPr>
      <w:r w:rsidRPr="00C8179F">
        <w:rPr>
          <w:rFonts w:ascii="Arial" w:eastAsiaTheme="minorEastAsia" w:hAnsi="Arial" w:cs="Arial"/>
          <w:b/>
          <w:bCs/>
        </w:rPr>
        <w:t>I RICAVI A LIVELLO REGIONALE</w:t>
      </w:r>
    </w:p>
    <w:p w14:paraId="65CFC98D" w14:textId="362AE96D" w:rsidR="006551CF" w:rsidRPr="00C8179F" w:rsidRDefault="006551CF" w:rsidP="00F82E6C">
      <w:pPr>
        <w:jc w:val="both"/>
        <w:rPr>
          <w:rFonts w:ascii="Arial" w:eastAsiaTheme="minorEastAsia" w:hAnsi="Arial" w:cs="Arial"/>
        </w:rPr>
      </w:pPr>
      <w:r w:rsidRPr="00C8179F">
        <w:rPr>
          <w:rFonts w:ascii="Arial" w:eastAsiaTheme="minorEastAsia" w:hAnsi="Arial" w:cs="Arial"/>
        </w:rPr>
        <w:t>A livello geografico, l</w:t>
      </w:r>
      <w:r w:rsidR="00FD5F58" w:rsidRPr="00C8179F">
        <w:rPr>
          <w:rFonts w:ascii="Arial" w:eastAsiaTheme="minorEastAsia" w:hAnsi="Arial" w:cs="Arial"/>
        </w:rPr>
        <w:t xml:space="preserve">e regioni che </w:t>
      </w:r>
      <w:r w:rsidR="002560E9" w:rsidRPr="00C8179F">
        <w:rPr>
          <w:rFonts w:ascii="Arial" w:eastAsiaTheme="minorEastAsia" w:hAnsi="Arial" w:cs="Arial"/>
        </w:rPr>
        <w:t xml:space="preserve">nel 2021 </w:t>
      </w:r>
      <w:r w:rsidR="00D60ECD" w:rsidRPr="00C8179F">
        <w:rPr>
          <w:rFonts w:ascii="Arial" w:eastAsiaTheme="minorEastAsia" w:hAnsi="Arial" w:cs="Arial"/>
        </w:rPr>
        <w:t xml:space="preserve">hanno fatto </w:t>
      </w:r>
      <w:r w:rsidR="00FD5F58" w:rsidRPr="00C8179F">
        <w:rPr>
          <w:rFonts w:ascii="Arial" w:eastAsiaTheme="minorEastAsia" w:hAnsi="Arial" w:cs="Arial"/>
        </w:rPr>
        <w:t xml:space="preserve">segnare la crescita più elevata dei ricavi sono </w:t>
      </w:r>
      <w:r w:rsidR="00FD5F58" w:rsidRPr="00C8179F">
        <w:rPr>
          <w:rFonts w:ascii="Arial" w:eastAsiaTheme="minorEastAsia" w:hAnsi="Arial" w:cs="Arial"/>
          <w:b/>
          <w:bCs/>
        </w:rPr>
        <w:t>Lazio</w:t>
      </w:r>
      <w:r w:rsidR="00FD5F58" w:rsidRPr="00C8179F">
        <w:rPr>
          <w:rFonts w:ascii="Arial" w:eastAsiaTheme="minorEastAsia" w:hAnsi="Arial" w:cs="Arial"/>
        </w:rPr>
        <w:t xml:space="preserve"> (+39,2%), </w:t>
      </w:r>
      <w:r w:rsidR="00FD5F58" w:rsidRPr="00C8179F">
        <w:rPr>
          <w:rFonts w:ascii="Arial" w:eastAsiaTheme="minorEastAsia" w:hAnsi="Arial" w:cs="Arial"/>
          <w:b/>
          <w:bCs/>
        </w:rPr>
        <w:t>Friuli-Venezia Giulia</w:t>
      </w:r>
      <w:r w:rsidR="00FD5F58" w:rsidRPr="00C8179F">
        <w:rPr>
          <w:rFonts w:ascii="Arial" w:eastAsiaTheme="minorEastAsia" w:hAnsi="Arial" w:cs="Arial"/>
        </w:rPr>
        <w:t xml:space="preserve"> (+33,2%) e </w:t>
      </w:r>
      <w:r w:rsidR="00FD5F58" w:rsidRPr="00C8179F">
        <w:rPr>
          <w:rFonts w:ascii="Arial" w:eastAsiaTheme="minorEastAsia" w:hAnsi="Arial" w:cs="Arial"/>
          <w:b/>
          <w:bCs/>
        </w:rPr>
        <w:t>Sardegna</w:t>
      </w:r>
      <w:r w:rsidR="00FD5F58" w:rsidRPr="00C8179F">
        <w:rPr>
          <w:rFonts w:ascii="Arial" w:eastAsiaTheme="minorEastAsia" w:hAnsi="Arial" w:cs="Arial"/>
        </w:rPr>
        <w:t xml:space="preserve"> (+31,3%)</w:t>
      </w:r>
      <w:r w:rsidRPr="00C8179F">
        <w:rPr>
          <w:rFonts w:ascii="Arial" w:eastAsiaTheme="minorEastAsia" w:hAnsi="Arial" w:cs="Arial"/>
        </w:rPr>
        <w:t xml:space="preserve">, mentre </w:t>
      </w:r>
      <w:r w:rsidR="006C5EA3">
        <w:rPr>
          <w:rFonts w:ascii="Arial" w:eastAsiaTheme="minorEastAsia" w:hAnsi="Arial" w:cs="Arial"/>
        </w:rPr>
        <w:t xml:space="preserve">tra </w:t>
      </w:r>
      <w:r w:rsidRPr="00C8179F">
        <w:rPr>
          <w:rFonts w:ascii="Arial" w:eastAsiaTheme="minorEastAsia" w:hAnsi="Arial" w:cs="Arial"/>
        </w:rPr>
        <w:t>l</w:t>
      </w:r>
      <w:r w:rsidR="00FD5F58" w:rsidRPr="00C8179F">
        <w:rPr>
          <w:rFonts w:ascii="Arial" w:eastAsiaTheme="minorEastAsia" w:hAnsi="Arial" w:cs="Arial"/>
        </w:rPr>
        <w:t xml:space="preserve">e regioni con la crescita più bassa </w:t>
      </w:r>
      <w:r w:rsidR="006C5EA3">
        <w:rPr>
          <w:rFonts w:ascii="Arial" w:eastAsiaTheme="minorEastAsia" w:hAnsi="Arial" w:cs="Arial"/>
        </w:rPr>
        <w:t>troviamo</w:t>
      </w:r>
      <w:r w:rsidR="00FD5F58" w:rsidRPr="00C8179F">
        <w:rPr>
          <w:rFonts w:ascii="Arial" w:eastAsiaTheme="minorEastAsia" w:hAnsi="Arial" w:cs="Arial"/>
        </w:rPr>
        <w:t xml:space="preserve"> </w:t>
      </w:r>
      <w:r w:rsidR="00FD5F58" w:rsidRPr="00C8179F">
        <w:rPr>
          <w:rFonts w:ascii="Arial" w:eastAsiaTheme="minorEastAsia" w:hAnsi="Arial" w:cs="Arial"/>
          <w:b/>
          <w:bCs/>
        </w:rPr>
        <w:t>Puglia</w:t>
      </w:r>
      <w:r w:rsidR="00FD5F58" w:rsidRPr="00C8179F">
        <w:rPr>
          <w:rFonts w:ascii="Arial" w:eastAsiaTheme="minorEastAsia" w:hAnsi="Arial" w:cs="Arial"/>
        </w:rPr>
        <w:t xml:space="preserve"> (+20%), </w:t>
      </w:r>
      <w:r w:rsidR="00FD5F58" w:rsidRPr="00C8179F">
        <w:rPr>
          <w:rFonts w:ascii="Arial" w:eastAsiaTheme="minorEastAsia" w:hAnsi="Arial" w:cs="Arial"/>
          <w:b/>
          <w:bCs/>
        </w:rPr>
        <w:t xml:space="preserve">Sicilia </w:t>
      </w:r>
      <w:r w:rsidR="00FD5F58" w:rsidRPr="00C8179F">
        <w:rPr>
          <w:rFonts w:ascii="Arial" w:eastAsiaTheme="minorEastAsia" w:hAnsi="Arial" w:cs="Arial"/>
        </w:rPr>
        <w:t xml:space="preserve">(+19,5%) e </w:t>
      </w:r>
      <w:r w:rsidR="00FD5F58" w:rsidRPr="00C8179F">
        <w:rPr>
          <w:rFonts w:ascii="Arial" w:eastAsiaTheme="minorEastAsia" w:hAnsi="Arial" w:cs="Arial"/>
          <w:b/>
          <w:bCs/>
        </w:rPr>
        <w:t>Piemonte</w:t>
      </w:r>
      <w:r w:rsidR="00FD5F58" w:rsidRPr="00C8179F">
        <w:rPr>
          <w:rFonts w:ascii="Arial" w:eastAsiaTheme="minorEastAsia" w:hAnsi="Arial" w:cs="Arial"/>
        </w:rPr>
        <w:t xml:space="preserve"> (+18,8%).</w:t>
      </w:r>
      <w:r w:rsidRPr="00C8179F">
        <w:rPr>
          <w:rFonts w:ascii="Arial" w:eastAsiaTheme="minorEastAsia" w:hAnsi="Arial" w:cs="Arial"/>
        </w:rPr>
        <w:t xml:space="preserve"> Le </w:t>
      </w:r>
      <w:r w:rsidR="00FD5F58" w:rsidRPr="00C8179F">
        <w:rPr>
          <w:rFonts w:ascii="Arial" w:eastAsiaTheme="minorEastAsia" w:hAnsi="Arial" w:cs="Arial"/>
        </w:rPr>
        <w:t xml:space="preserve">province più dinamiche in termini di incremento dei ricavi sono </w:t>
      </w:r>
      <w:r w:rsidR="00FD5F58" w:rsidRPr="00C8179F">
        <w:rPr>
          <w:rFonts w:ascii="Arial" w:eastAsiaTheme="minorEastAsia" w:hAnsi="Arial" w:cs="Arial"/>
          <w:b/>
          <w:bCs/>
        </w:rPr>
        <w:t>Trieste</w:t>
      </w:r>
      <w:r w:rsidR="00FD5F58" w:rsidRPr="00C8179F">
        <w:rPr>
          <w:rFonts w:ascii="Arial" w:eastAsiaTheme="minorEastAsia" w:hAnsi="Arial" w:cs="Arial"/>
        </w:rPr>
        <w:t xml:space="preserve"> (+47,2%), </w:t>
      </w:r>
      <w:r w:rsidR="00FD5F58" w:rsidRPr="00C8179F">
        <w:rPr>
          <w:rFonts w:ascii="Arial" w:eastAsiaTheme="minorEastAsia" w:hAnsi="Arial" w:cs="Arial"/>
          <w:b/>
          <w:bCs/>
        </w:rPr>
        <w:t>Cagliari</w:t>
      </w:r>
      <w:r w:rsidR="00FD5F58" w:rsidRPr="00C8179F">
        <w:rPr>
          <w:rFonts w:ascii="Arial" w:eastAsiaTheme="minorEastAsia" w:hAnsi="Arial" w:cs="Arial"/>
        </w:rPr>
        <w:t xml:space="preserve"> (+40,7%) e </w:t>
      </w:r>
      <w:r w:rsidR="00FD5F58" w:rsidRPr="00C8179F">
        <w:rPr>
          <w:rFonts w:ascii="Arial" w:eastAsiaTheme="minorEastAsia" w:hAnsi="Arial" w:cs="Arial"/>
          <w:b/>
          <w:bCs/>
        </w:rPr>
        <w:t>Roma</w:t>
      </w:r>
      <w:r w:rsidR="00FD5F58" w:rsidRPr="00C8179F">
        <w:rPr>
          <w:rFonts w:ascii="Arial" w:eastAsiaTheme="minorEastAsia" w:hAnsi="Arial" w:cs="Arial"/>
        </w:rPr>
        <w:t xml:space="preserve"> (+40%)</w:t>
      </w:r>
      <w:r w:rsidRPr="00C8179F">
        <w:rPr>
          <w:rFonts w:ascii="Arial" w:eastAsiaTheme="minorEastAsia" w:hAnsi="Arial" w:cs="Arial"/>
        </w:rPr>
        <w:t>, mentre i</w:t>
      </w:r>
      <w:r w:rsidR="00FD5F58" w:rsidRPr="00C8179F">
        <w:rPr>
          <w:rFonts w:ascii="Arial" w:eastAsiaTheme="minorEastAsia" w:hAnsi="Arial" w:cs="Arial"/>
        </w:rPr>
        <w:t xml:space="preserve">n fondo alla </w:t>
      </w:r>
      <w:r w:rsidRPr="00C8179F">
        <w:rPr>
          <w:rFonts w:ascii="Arial" w:eastAsiaTheme="minorEastAsia" w:hAnsi="Arial" w:cs="Arial"/>
        </w:rPr>
        <w:t xml:space="preserve">classifica si trovano </w:t>
      </w:r>
      <w:r w:rsidR="00FD5F58" w:rsidRPr="00C8179F">
        <w:rPr>
          <w:rFonts w:ascii="Arial" w:eastAsiaTheme="minorEastAsia" w:hAnsi="Arial" w:cs="Arial"/>
          <w:b/>
          <w:bCs/>
        </w:rPr>
        <w:t>Savona</w:t>
      </w:r>
      <w:r w:rsidR="00FD5F58" w:rsidRPr="00C8179F">
        <w:rPr>
          <w:rFonts w:ascii="Arial" w:eastAsiaTheme="minorEastAsia" w:hAnsi="Arial" w:cs="Arial"/>
        </w:rPr>
        <w:t xml:space="preserve"> (+10,7%), </w:t>
      </w:r>
      <w:r w:rsidR="00FD5F58" w:rsidRPr="00C8179F">
        <w:rPr>
          <w:rFonts w:ascii="Arial" w:eastAsiaTheme="minorEastAsia" w:hAnsi="Arial" w:cs="Arial"/>
          <w:b/>
          <w:bCs/>
        </w:rPr>
        <w:t>Siracusa</w:t>
      </w:r>
      <w:r w:rsidR="00FD5F58" w:rsidRPr="00C8179F">
        <w:rPr>
          <w:rFonts w:ascii="Arial" w:eastAsiaTheme="minorEastAsia" w:hAnsi="Arial" w:cs="Arial"/>
        </w:rPr>
        <w:t xml:space="preserve"> (+8,3%) e </w:t>
      </w:r>
      <w:r w:rsidR="00FD5F58" w:rsidRPr="00C8179F">
        <w:rPr>
          <w:rFonts w:ascii="Arial" w:eastAsiaTheme="minorEastAsia" w:hAnsi="Arial" w:cs="Arial"/>
          <w:b/>
          <w:bCs/>
        </w:rPr>
        <w:t>Arezzo</w:t>
      </w:r>
      <w:r w:rsidR="00FD5F58" w:rsidRPr="00C8179F">
        <w:rPr>
          <w:rFonts w:ascii="Arial" w:eastAsiaTheme="minorEastAsia" w:hAnsi="Arial" w:cs="Arial"/>
        </w:rPr>
        <w:t xml:space="preserve"> (+3,6%).</w:t>
      </w:r>
    </w:p>
    <w:p w14:paraId="51AEA66A" w14:textId="77777777" w:rsidR="006551CF" w:rsidRPr="00C8179F" w:rsidRDefault="006551CF" w:rsidP="00F82E6C">
      <w:pPr>
        <w:jc w:val="both"/>
        <w:rPr>
          <w:rFonts w:ascii="Arial" w:eastAsiaTheme="minorEastAsia" w:hAnsi="Arial" w:cs="Arial"/>
        </w:rPr>
      </w:pPr>
    </w:p>
    <w:p w14:paraId="1C6D8E95" w14:textId="7C30A2D3" w:rsidR="00EE3729" w:rsidRPr="00C8179F" w:rsidRDefault="00F628B0" w:rsidP="00F82E6C">
      <w:pPr>
        <w:jc w:val="both"/>
        <w:rPr>
          <w:rFonts w:ascii="Arial" w:eastAsiaTheme="minorEastAsia" w:hAnsi="Arial" w:cs="Arial"/>
          <w:b/>
          <w:bCs/>
        </w:rPr>
      </w:pPr>
      <w:r w:rsidRPr="00C8179F">
        <w:rPr>
          <w:rFonts w:ascii="Arial" w:eastAsiaTheme="minorEastAsia" w:hAnsi="Arial" w:cs="Arial"/>
          <w:b/>
          <w:bCs/>
        </w:rPr>
        <w:t xml:space="preserve">IL </w:t>
      </w:r>
      <w:r w:rsidR="00EE3729" w:rsidRPr="00C8179F">
        <w:rPr>
          <w:rFonts w:ascii="Arial" w:eastAsiaTheme="minorEastAsia" w:hAnsi="Arial" w:cs="Arial"/>
          <w:b/>
          <w:bCs/>
        </w:rPr>
        <w:t>TASSO DI CRESCITA DEI DIPENDENTI</w:t>
      </w:r>
    </w:p>
    <w:p w14:paraId="1A874CE9" w14:textId="3B704591" w:rsidR="00FD5F58" w:rsidRPr="00C8179F" w:rsidRDefault="00FD5F58" w:rsidP="00F82E6C">
      <w:pPr>
        <w:jc w:val="both"/>
        <w:rPr>
          <w:rFonts w:ascii="Arial" w:eastAsiaTheme="minorEastAsia" w:hAnsi="Arial" w:cs="Arial"/>
        </w:rPr>
      </w:pPr>
      <w:r w:rsidRPr="00C8179F">
        <w:rPr>
          <w:rFonts w:ascii="Arial" w:eastAsiaTheme="minorEastAsia" w:hAnsi="Arial" w:cs="Arial"/>
        </w:rPr>
        <w:t>Sul fronte de</w:t>
      </w:r>
      <w:r w:rsidR="00EE3729" w:rsidRPr="00C8179F">
        <w:rPr>
          <w:rFonts w:ascii="Arial" w:eastAsiaTheme="minorEastAsia" w:hAnsi="Arial" w:cs="Arial"/>
        </w:rPr>
        <w:t xml:space="preserve">i dipendenti, il biennio ha visto un incremento </w:t>
      </w:r>
      <w:r w:rsidR="00553A4C" w:rsidRPr="00C8179F">
        <w:rPr>
          <w:rFonts w:ascii="Arial" w:eastAsiaTheme="minorEastAsia" w:hAnsi="Arial" w:cs="Arial"/>
        </w:rPr>
        <w:t xml:space="preserve">maggiore </w:t>
      </w:r>
      <w:r w:rsidR="00EE3729" w:rsidRPr="00C8179F">
        <w:rPr>
          <w:rFonts w:ascii="Arial" w:eastAsiaTheme="minorEastAsia" w:hAnsi="Arial" w:cs="Arial"/>
        </w:rPr>
        <w:t xml:space="preserve">degli occupati nel </w:t>
      </w:r>
      <w:r w:rsidR="00EE3729" w:rsidRPr="00C8179F">
        <w:rPr>
          <w:rFonts w:ascii="Arial" w:eastAsiaTheme="minorEastAsia" w:hAnsi="Arial" w:cs="Arial"/>
          <w:b/>
          <w:bCs/>
        </w:rPr>
        <w:t>2022</w:t>
      </w:r>
      <w:r w:rsidR="00EE3729" w:rsidRPr="00C8179F">
        <w:rPr>
          <w:rFonts w:ascii="Arial" w:eastAsiaTheme="minorEastAsia" w:hAnsi="Arial" w:cs="Arial"/>
        </w:rPr>
        <w:t xml:space="preserve"> (</w:t>
      </w:r>
      <w:r w:rsidR="00EE3729" w:rsidRPr="00C8179F">
        <w:rPr>
          <w:rFonts w:ascii="Arial" w:eastAsiaTheme="minorEastAsia" w:hAnsi="Arial" w:cs="Arial"/>
          <w:b/>
          <w:bCs/>
        </w:rPr>
        <w:t>+7,2%</w:t>
      </w:r>
      <w:r w:rsidR="00EE3729" w:rsidRPr="00C8179F">
        <w:rPr>
          <w:rFonts w:ascii="Arial" w:eastAsiaTheme="minorEastAsia" w:hAnsi="Arial" w:cs="Arial"/>
        </w:rPr>
        <w:t xml:space="preserve">) rispetto al </w:t>
      </w:r>
      <w:r w:rsidR="00EE3729" w:rsidRPr="00C8179F">
        <w:rPr>
          <w:rFonts w:ascii="Arial" w:eastAsiaTheme="minorEastAsia" w:hAnsi="Arial" w:cs="Arial"/>
          <w:b/>
          <w:bCs/>
        </w:rPr>
        <w:t>2021</w:t>
      </w:r>
      <w:r w:rsidR="00EE3729" w:rsidRPr="00C8179F">
        <w:rPr>
          <w:rFonts w:ascii="Arial" w:eastAsiaTheme="minorEastAsia" w:hAnsi="Arial" w:cs="Arial"/>
        </w:rPr>
        <w:t xml:space="preserve"> (</w:t>
      </w:r>
      <w:r w:rsidR="00EE3729" w:rsidRPr="00C8179F">
        <w:rPr>
          <w:rFonts w:ascii="Arial" w:eastAsiaTheme="minorEastAsia" w:hAnsi="Arial" w:cs="Arial"/>
          <w:b/>
          <w:bCs/>
        </w:rPr>
        <w:t>+3,3%</w:t>
      </w:r>
      <w:r w:rsidR="00EE3729" w:rsidRPr="00C8179F">
        <w:rPr>
          <w:rFonts w:ascii="Arial" w:eastAsiaTheme="minorEastAsia" w:hAnsi="Arial" w:cs="Arial"/>
        </w:rPr>
        <w:t>). Nel 2</w:t>
      </w:r>
      <w:r w:rsidR="002560E9" w:rsidRPr="00C8179F">
        <w:rPr>
          <w:rFonts w:ascii="Arial" w:eastAsiaTheme="minorEastAsia" w:hAnsi="Arial" w:cs="Arial"/>
        </w:rPr>
        <w:t>021,</w:t>
      </w:r>
      <w:r w:rsidRPr="00C8179F">
        <w:rPr>
          <w:rFonts w:ascii="Arial" w:eastAsiaTheme="minorEastAsia" w:hAnsi="Arial" w:cs="Arial"/>
        </w:rPr>
        <w:t xml:space="preserve"> </w:t>
      </w:r>
      <w:r w:rsidR="00EE3729" w:rsidRPr="00C8179F">
        <w:rPr>
          <w:rFonts w:ascii="Arial" w:eastAsiaTheme="minorEastAsia" w:hAnsi="Arial" w:cs="Arial"/>
        </w:rPr>
        <w:t xml:space="preserve">in particolare, </w:t>
      </w:r>
      <w:r w:rsidR="002560E9" w:rsidRPr="00C8179F">
        <w:rPr>
          <w:rFonts w:ascii="Arial" w:eastAsiaTheme="minorEastAsia" w:hAnsi="Arial" w:cs="Arial"/>
        </w:rPr>
        <w:t xml:space="preserve">tutte </w:t>
      </w:r>
      <w:r w:rsidRPr="00C8179F">
        <w:rPr>
          <w:rFonts w:ascii="Arial" w:eastAsiaTheme="minorEastAsia" w:hAnsi="Arial" w:cs="Arial"/>
        </w:rPr>
        <w:t xml:space="preserve">le province meridionali mostrano un tasso di crescita più elevato </w:t>
      </w:r>
      <w:r w:rsidR="00D60ECD" w:rsidRPr="00C8179F">
        <w:rPr>
          <w:rFonts w:ascii="Arial" w:eastAsiaTheme="minorEastAsia" w:hAnsi="Arial" w:cs="Arial"/>
        </w:rPr>
        <w:t xml:space="preserve">- </w:t>
      </w:r>
      <w:r w:rsidRPr="00C8179F">
        <w:rPr>
          <w:rFonts w:ascii="Arial" w:eastAsiaTheme="minorEastAsia" w:hAnsi="Arial" w:cs="Arial"/>
        </w:rPr>
        <w:t xml:space="preserve">in linea con il +6,5% della macroarea Sud </w:t>
      </w:r>
      <w:r w:rsidR="00D60ECD" w:rsidRPr="00C8179F">
        <w:rPr>
          <w:rFonts w:ascii="Arial" w:eastAsiaTheme="minorEastAsia" w:hAnsi="Arial" w:cs="Arial"/>
        </w:rPr>
        <w:t xml:space="preserve">- </w:t>
      </w:r>
      <w:r w:rsidRPr="00C8179F">
        <w:rPr>
          <w:rFonts w:ascii="Arial" w:eastAsiaTheme="minorEastAsia" w:hAnsi="Arial" w:cs="Arial"/>
        </w:rPr>
        <w:t xml:space="preserve">contro il +2,1% del Nord-ovest e il +2,4% del Nord-est. Le province più dinamiche per il tasso di crescita dei dipendenti sono state </w:t>
      </w:r>
      <w:r w:rsidRPr="00C8179F">
        <w:rPr>
          <w:rFonts w:ascii="Arial" w:eastAsiaTheme="minorEastAsia" w:hAnsi="Arial" w:cs="Arial"/>
          <w:b/>
          <w:bCs/>
        </w:rPr>
        <w:t>Campobasso</w:t>
      </w:r>
      <w:r w:rsidRPr="00C8179F">
        <w:rPr>
          <w:rFonts w:ascii="Arial" w:eastAsiaTheme="minorEastAsia" w:hAnsi="Arial" w:cs="Arial"/>
        </w:rPr>
        <w:t xml:space="preserve"> (+24,9%), </w:t>
      </w:r>
      <w:r w:rsidRPr="00C8179F">
        <w:rPr>
          <w:rFonts w:ascii="Arial" w:eastAsiaTheme="minorEastAsia" w:hAnsi="Arial" w:cs="Arial"/>
          <w:b/>
          <w:bCs/>
        </w:rPr>
        <w:t>Potenza</w:t>
      </w:r>
      <w:r w:rsidRPr="00C8179F">
        <w:rPr>
          <w:rFonts w:ascii="Arial" w:eastAsiaTheme="minorEastAsia" w:hAnsi="Arial" w:cs="Arial"/>
        </w:rPr>
        <w:t xml:space="preserve"> (+20,7%) e </w:t>
      </w:r>
      <w:r w:rsidRPr="00C8179F">
        <w:rPr>
          <w:rFonts w:ascii="Arial" w:eastAsiaTheme="minorEastAsia" w:hAnsi="Arial" w:cs="Arial"/>
          <w:b/>
          <w:bCs/>
        </w:rPr>
        <w:t>Siracusa</w:t>
      </w:r>
      <w:r w:rsidRPr="00C8179F">
        <w:rPr>
          <w:rFonts w:ascii="Arial" w:eastAsiaTheme="minorEastAsia" w:hAnsi="Arial" w:cs="Arial"/>
        </w:rPr>
        <w:t xml:space="preserve"> (+20,3%).</w:t>
      </w:r>
    </w:p>
    <w:p w14:paraId="34C20BB6" w14:textId="77777777" w:rsidR="00EE3729" w:rsidRPr="00C8179F" w:rsidRDefault="00EE3729" w:rsidP="00F82E6C">
      <w:pPr>
        <w:jc w:val="both"/>
        <w:rPr>
          <w:rFonts w:ascii="Arial" w:eastAsiaTheme="minorEastAsia" w:hAnsi="Arial" w:cs="Arial"/>
        </w:rPr>
      </w:pPr>
    </w:p>
    <w:p w14:paraId="5715E60B" w14:textId="61412063" w:rsidR="00EE3729" w:rsidRPr="00C8179F" w:rsidRDefault="00F628B0" w:rsidP="00F82E6C">
      <w:pPr>
        <w:jc w:val="both"/>
        <w:rPr>
          <w:rFonts w:ascii="Arial" w:eastAsiaTheme="minorEastAsia" w:hAnsi="Arial" w:cs="Arial"/>
          <w:b/>
          <w:bCs/>
        </w:rPr>
      </w:pPr>
      <w:r w:rsidRPr="00C8179F">
        <w:rPr>
          <w:rFonts w:ascii="Arial" w:eastAsiaTheme="minorEastAsia" w:hAnsi="Arial" w:cs="Arial"/>
          <w:b/>
          <w:bCs/>
        </w:rPr>
        <w:t xml:space="preserve">LA </w:t>
      </w:r>
      <w:r w:rsidR="00EE3729" w:rsidRPr="00C8179F">
        <w:rPr>
          <w:rFonts w:ascii="Arial" w:eastAsiaTheme="minorEastAsia" w:hAnsi="Arial" w:cs="Arial"/>
          <w:b/>
          <w:bCs/>
        </w:rPr>
        <w:t>CHIUSURA DEL BILANCIO IN UTILE</w:t>
      </w:r>
    </w:p>
    <w:p w14:paraId="7B0B47B2" w14:textId="68FC6B10" w:rsidR="00FD5F58" w:rsidRPr="00C8179F" w:rsidRDefault="00ED3B51" w:rsidP="00F82E6C">
      <w:pPr>
        <w:jc w:val="both"/>
        <w:rPr>
          <w:rFonts w:ascii="Arial" w:eastAsiaTheme="minorEastAsia" w:hAnsi="Arial" w:cs="Arial"/>
        </w:rPr>
      </w:pPr>
      <w:r w:rsidRPr="00C8179F">
        <w:rPr>
          <w:rFonts w:ascii="Arial" w:eastAsiaTheme="minorEastAsia" w:hAnsi="Arial" w:cs="Arial"/>
        </w:rPr>
        <w:t>Rispetto alla quota di società che chiud</w:t>
      </w:r>
      <w:r w:rsidR="006C5EA3">
        <w:rPr>
          <w:rFonts w:ascii="Arial" w:eastAsiaTheme="minorEastAsia" w:hAnsi="Arial" w:cs="Arial"/>
        </w:rPr>
        <w:t>e</w:t>
      </w:r>
      <w:r w:rsidRPr="00C8179F">
        <w:rPr>
          <w:rFonts w:ascii="Arial" w:eastAsiaTheme="minorEastAsia" w:hAnsi="Arial" w:cs="Arial"/>
        </w:rPr>
        <w:t xml:space="preserve"> il bilancio in utile, </w:t>
      </w:r>
      <w:r w:rsidR="00752EB4" w:rsidRPr="00C8179F">
        <w:rPr>
          <w:rFonts w:ascii="Arial" w:eastAsiaTheme="minorEastAsia" w:hAnsi="Arial" w:cs="Arial"/>
        </w:rPr>
        <w:t xml:space="preserve">sempre nel 2021, </w:t>
      </w:r>
      <w:r w:rsidR="00FD5F58" w:rsidRPr="00C8179F">
        <w:rPr>
          <w:rFonts w:ascii="Arial" w:eastAsiaTheme="minorEastAsia" w:hAnsi="Arial" w:cs="Arial"/>
        </w:rPr>
        <w:t xml:space="preserve">tra </w:t>
      </w:r>
      <w:r w:rsidRPr="00C8179F">
        <w:rPr>
          <w:rFonts w:ascii="Arial" w:eastAsiaTheme="minorEastAsia" w:hAnsi="Arial" w:cs="Arial"/>
        </w:rPr>
        <w:t xml:space="preserve">le </w:t>
      </w:r>
      <w:r w:rsidR="00FD5F58" w:rsidRPr="00C8179F">
        <w:rPr>
          <w:rFonts w:ascii="Arial" w:eastAsiaTheme="minorEastAsia" w:hAnsi="Arial" w:cs="Arial"/>
        </w:rPr>
        <w:t>macroaree territoriali non si registr</w:t>
      </w:r>
      <w:r w:rsidRPr="00C8179F">
        <w:rPr>
          <w:rFonts w:ascii="Arial" w:eastAsiaTheme="minorEastAsia" w:hAnsi="Arial" w:cs="Arial"/>
        </w:rPr>
        <w:t>a</w:t>
      </w:r>
      <w:r w:rsidR="00FD5F58" w:rsidRPr="00C8179F">
        <w:rPr>
          <w:rFonts w:ascii="Arial" w:eastAsiaTheme="minorEastAsia" w:hAnsi="Arial" w:cs="Arial"/>
        </w:rPr>
        <w:t xml:space="preserve"> un significativo divario se non per un livello leggermente inferiore alla media del Centro (73,2% contro 75,7%)</w:t>
      </w:r>
      <w:r w:rsidRPr="00C8179F">
        <w:rPr>
          <w:rFonts w:ascii="Arial" w:eastAsiaTheme="minorEastAsia" w:hAnsi="Arial" w:cs="Arial"/>
        </w:rPr>
        <w:t>. La differenza, invece,</w:t>
      </w:r>
      <w:r w:rsidR="006C5EA3">
        <w:rPr>
          <w:rFonts w:ascii="Arial" w:eastAsiaTheme="minorEastAsia" w:hAnsi="Arial" w:cs="Arial"/>
        </w:rPr>
        <w:t xml:space="preserve"> tende</w:t>
      </w:r>
      <w:r w:rsidR="00FD5F58" w:rsidRPr="00C8179F">
        <w:rPr>
          <w:rFonts w:ascii="Arial" w:eastAsiaTheme="minorEastAsia" w:hAnsi="Arial" w:cs="Arial"/>
        </w:rPr>
        <w:t xml:space="preserve"> ad essere più marcat</w:t>
      </w:r>
      <w:r w:rsidRPr="00C8179F">
        <w:rPr>
          <w:rFonts w:ascii="Arial" w:eastAsiaTheme="minorEastAsia" w:hAnsi="Arial" w:cs="Arial"/>
        </w:rPr>
        <w:t>a tra le province</w:t>
      </w:r>
      <w:r w:rsidR="00FD5F58" w:rsidRPr="00C8179F">
        <w:rPr>
          <w:rFonts w:ascii="Arial" w:eastAsiaTheme="minorEastAsia" w:hAnsi="Arial" w:cs="Arial"/>
        </w:rPr>
        <w:t xml:space="preserve">. </w:t>
      </w:r>
      <w:r w:rsidR="00FD5F58" w:rsidRPr="00C8179F">
        <w:rPr>
          <w:rFonts w:ascii="Arial" w:eastAsiaTheme="minorEastAsia" w:hAnsi="Arial" w:cs="Arial"/>
          <w:b/>
          <w:bCs/>
        </w:rPr>
        <w:t>Roma</w:t>
      </w:r>
      <w:r w:rsidR="00FD5F58" w:rsidRPr="00C8179F">
        <w:rPr>
          <w:rFonts w:ascii="Arial" w:eastAsiaTheme="minorEastAsia" w:hAnsi="Arial" w:cs="Arial"/>
        </w:rPr>
        <w:t xml:space="preserve">, </w:t>
      </w:r>
      <w:r w:rsidRPr="00C8179F">
        <w:rPr>
          <w:rFonts w:ascii="Arial" w:eastAsiaTheme="minorEastAsia" w:hAnsi="Arial" w:cs="Arial"/>
        </w:rPr>
        <w:t xml:space="preserve">che </w:t>
      </w:r>
      <w:r w:rsidR="006551CF" w:rsidRPr="00C8179F">
        <w:rPr>
          <w:rFonts w:ascii="Arial" w:eastAsiaTheme="minorEastAsia" w:hAnsi="Arial" w:cs="Arial"/>
        </w:rPr>
        <w:t xml:space="preserve">fa segnare </w:t>
      </w:r>
      <w:r w:rsidR="00FD5F58" w:rsidRPr="00C8179F">
        <w:rPr>
          <w:rFonts w:ascii="Arial" w:eastAsiaTheme="minorEastAsia" w:hAnsi="Arial" w:cs="Arial"/>
        </w:rPr>
        <w:t xml:space="preserve">un tasso di crescita dei ricavi tra i più elevati, presenta una quota di società in utile tra le più basse (70,9%), preceduta solo da </w:t>
      </w:r>
      <w:r w:rsidR="00FD5F58" w:rsidRPr="00C8179F">
        <w:rPr>
          <w:rFonts w:ascii="Arial" w:eastAsiaTheme="minorEastAsia" w:hAnsi="Arial" w:cs="Arial"/>
          <w:b/>
          <w:bCs/>
        </w:rPr>
        <w:t>Grosseto</w:t>
      </w:r>
      <w:r w:rsidR="00FD5F58" w:rsidRPr="00C8179F">
        <w:rPr>
          <w:rFonts w:ascii="Arial" w:eastAsiaTheme="minorEastAsia" w:hAnsi="Arial" w:cs="Arial"/>
        </w:rPr>
        <w:t xml:space="preserve"> (68,8%) e </w:t>
      </w:r>
      <w:r w:rsidR="00FD5F58" w:rsidRPr="00C8179F">
        <w:rPr>
          <w:rFonts w:ascii="Arial" w:eastAsiaTheme="minorEastAsia" w:hAnsi="Arial" w:cs="Arial"/>
          <w:b/>
          <w:bCs/>
        </w:rPr>
        <w:t xml:space="preserve">Imperia </w:t>
      </w:r>
      <w:r w:rsidR="00FD5F58" w:rsidRPr="00C8179F">
        <w:rPr>
          <w:rFonts w:ascii="Arial" w:eastAsiaTheme="minorEastAsia" w:hAnsi="Arial" w:cs="Arial"/>
        </w:rPr>
        <w:t xml:space="preserve">(68,2%), mentre le province con il risultato migliore sono </w:t>
      </w:r>
      <w:r w:rsidR="00FD5F58" w:rsidRPr="00C8179F">
        <w:rPr>
          <w:rFonts w:ascii="Arial" w:eastAsiaTheme="minorEastAsia" w:hAnsi="Arial" w:cs="Arial"/>
          <w:b/>
          <w:bCs/>
        </w:rPr>
        <w:t>Salerno</w:t>
      </w:r>
      <w:r w:rsidR="00FD5F58" w:rsidRPr="00C8179F">
        <w:rPr>
          <w:rFonts w:ascii="Arial" w:eastAsiaTheme="minorEastAsia" w:hAnsi="Arial" w:cs="Arial"/>
        </w:rPr>
        <w:t xml:space="preserve"> (80,9%) e </w:t>
      </w:r>
      <w:r w:rsidR="00FD5F58" w:rsidRPr="00C8179F">
        <w:rPr>
          <w:rFonts w:ascii="Arial" w:eastAsiaTheme="minorEastAsia" w:hAnsi="Arial" w:cs="Arial"/>
          <w:b/>
          <w:bCs/>
        </w:rPr>
        <w:t>Caserta</w:t>
      </w:r>
      <w:r w:rsidR="00FD5F58" w:rsidRPr="00C8179F">
        <w:rPr>
          <w:rFonts w:ascii="Arial" w:eastAsiaTheme="minorEastAsia" w:hAnsi="Arial" w:cs="Arial"/>
        </w:rPr>
        <w:t xml:space="preserve"> (80,4%). La Campania, infatti, con il 79,6% è la prima regione con la quota più elevata di società che chiud</w:t>
      </w:r>
      <w:r w:rsidR="002560E9" w:rsidRPr="00C8179F">
        <w:rPr>
          <w:rFonts w:ascii="Arial" w:eastAsiaTheme="minorEastAsia" w:hAnsi="Arial" w:cs="Arial"/>
        </w:rPr>
        <w:t>e</w:t>
      </w:r>
      <w:r w:rsidR="00FD5F58" w:rsidRPr="00C8179F">
        <w:rPr>
          <w:rFonts w:ascii="Arial" w:eastAsiaTheme="minorEastAsia" w:hAnsi="Arial" w:cs="Arial"/>
        </w:rPr>
        <w:t xml:space="preserve"> il bilancio 2021 in utile, seguita dal Veneto </w:t>
      </w:r>
      <w:r w:rsidR="002560E9" w:rsidRPr="00C8179F">
        <w:rPr>
          <w:rFonts w:ascii="Arial" w:eastAsiaTheme="minorEastAsia" w:hAnsi="Arial" w:cs="Arial"/>
        </w:rPr>
        <w:t>(</w:t>
      </w:r>
      <w:r w:rsidR="00FD5F58" w:rsidRPr="00C8179F">
        <w:rPr>
          <w:rFonts w:ascii="Arial" w:eastAsiaTheme="minorEastAsia" w:hAnsi="Arial" w:cs="Arial"/>
        </w:rPr>
        <w:t>77,9%</w:t>
      </w:r>
      <w:r w:rsidR="002560E9" w:rsidRPr="00C8179F">
        <w:rPr>
          <w:rFonts w:ascii="Arial" w:eastAsiaTheme="minorEastAsia" w:hAnsi="Arial" w:cs="Arial"/>
        </w:rPr>
        <w:t>)</w:t>
      </w:r>
      <w:r w:rsidR="00FD5F58" w:rsidRPr="00C8179F">
        <w:rPr>
          <w:rFonts w:ascii="Arial" w:eastAsiaTheme="minorEastAsia" w:hAnsi="Arial" w:cs="Arial"/>
        </w:rPr>
        <w:t>.</w:t>
      </w:r>
    </w:p>
    <w:p w14:paraId="4C453C43" w14:textId="77777777" w:rsidR="00EA0E6A" w:rsidRPr="00C8179F" w:rsidRDefault="00EA0E6A" w:rsidP="00F82E6C">
      <w:pPr>
        <w:jc w:val="both"/>
        <w:rPr>
          <w:rFonts w:ascii="Arial" w:eastAsiaTheme="minorEastAsia" w:hAnsi="Arial" w:cs="Arial"/>
        </w:rPr>
      </w:pPr>
    </w:p>
    <w:p w14:paraId="0AB68134" w14:textId="01910320" w:rsidR="00F628B0" w:rsidRPr="00C8179F" w:rsidRDefault="00F628B0" w:rsidP="00F82E6C">
      <w:pPr>
        <w:jc w:val="both"/>
        <w:rPr>
          <w:rFonts w:ascii="Arial" w:eastAsia="Times New Roman" w:hAnsi="Arial" w:cs="Arial"/>
          <w:b/>
          <w:bCs/>
        </w:rPr>
      </w:pPr>
      <w:r w:rsidRPr="00C8179F">
        <w:rPr>
          <w:rFonts w:ascii="Arial" w:eastAsia="Times New Roman" w:hAnsi="Arial" w:cs="Arial"/>
          <w:b/>
          <w:bCs/>
        </w:rPr>
        <w:t>IL COMMENTO DEL PRESIDENTE DE NUCCIO</w:t>
      </w:r>
    </w:p>
    <w:p w14:paraId="136C58D1" w14:textId="2DD328FB" w:rsidR="00D4016C" w:rsidRPr="00C8179F" w:rsidRDefault="00D4016C" w:rsidP="00F82E6C">
      <w:pPr>
        <w:jc w:val="both"/>
        <w:rPr>
          <w:rFonts w:ascii="Arial" w:eastAsia="Times New Roman" w:hAnsi="Arial" w:cs="Arial"/>
        </w:rPr>
      </w:pPr>
      <w:r w:rsidRPr="00C8179F">
        <w:rPr>
          <w:rFonts w:ascii="Arial" w:eastAsia="Times New Roman" w:hAnsi="Arial" w:cs="Arial"/>
        </w:rPr>
        <w:t>“I dati dell</w:t>
      </w:r>
      <w:r w:rsidR="003461EC">
        <w:rPr>
          <w:rFonts w:ascii="Arial" w:eastAsia="Times New Roman" w:hAnsi="Arial" w:cs="Arial"/>
        </w:rPr>
        <w:t>’</w:t>
      </w:r>
      <w:r w:rsidRPr="00C8179F">
        <w:rPr>
          <w:rFonts w:ascii="Arial" w:eastAsia="Times New Roman" w:hAnsi="Arial" w:cs="Arial"/>
        </w:rPr>
        <w:t xml:space="preserve">Osservatorio Bilanci </w:t>
      </w:r>
      <w:r w:rsidR="00B73407" w:rsidRPr="00C8179F">
        <w:rPr>
          <w:rFonts w:ascii="Arial" w:eastAsia="Times New Roman" w:hAnsi="Arial" w:cs="Arial"/>
        </w:rPr>
        <w:t xml:space="preserve">della nostra Fondazione </w:t>
      </w:r>
      <w:r w:rsidRPr="00C8179F">
        <w:rPr>
          <w:rFonts w:ascii="Arial" w:eastAsia="Times New Roman" w:hAnsi="Arial" w:cs="Arial"/>
        </w:rPr>
        <w:t>mostrano una tenuta dei ricavi delle imprese per l</w:t>
      </w:r>
      <w:r w:rsidR="00B73407" w:rsidRPr="00C8179F">
        <w:rPr>
          <w:rFonts w:ascii="Arial" w:eastAsia="Times New Roman" w:hAnsi="Arial" w:cs="Arial"/>
        </w:rPr>
        <w:t>’</w:t>
      </w:r>
      <w:r w:rsidRPr="00C8179F">
        <w:rPr>
          <w:rFonts w:ascii="Arial" w:eastAsia="Times New Roman" w:hAnsi="Arial" w:cs="Arial"/>
        </w:rPr>
        <w:t>anno in corso che scontano, però, un forte rallentamento a causa della contrazione della produzione industriale nella prima parte dell</w:t>
      </w:r>
      <w:r w:rsidR="00B73407" w:rsidRPr="00C8179F">
        <w:rPr>
          <w:rFonts w:ascii="Arial" w:eastAsia="Times New Roman" w:hAnsi="Arial" w:cs="Arial"/>
        </w:rPr>
        <w:t>’</w:t>
      </w:r>
      <w:r w:rsidRPr="00C8179F">
        <w:rPr>
          <w:rFonts w:ascii="Arial" w:eastAsia="Times New Roman" w:hAnsi="Arial" w:cs="Arial"/>
        </w:rPr>
        <w:t xml:space="preserve">anno – commenta </w:t>
      </w:r>
      <w:r w:rsidRPr="00C8179F">
        <w:rPr>
          <w:rFonts w:ascii="Arial" w:eastAsia="Times New Roman" w:hAnsi="Arial" w:cs="Arial"/>
          <w:b/>
          <w:bCs/>
        </w:rPr>
        <w:t>Elbano de Nuccio</w:t>
      </w:r>
      <w:r w:rsidRPr="00C8179F">
        <w:rPr>
          <w:rFonts w:ascii="Arial" w:eastAsia="Times New Roman" w:hAnsi="Arial" w:cs="Arial"/>
        </w:rPr>
        <w:t xml:space="preserve">, presidente del Consiglio nazionale dei commercialisti –. La spinta al Pil più che positiva del primo trimestre </w:t>
      </w:r>
      <w:r w:rsidR="00B73407" w:rsidRPr="00C8179F">
        <w:rPr>
          <w:rFonts w:ascii="Arial" w:eastAsia="Times New Roman" w:hAnsi="Arial" w:cs="Arial"/>
        </w:rPr>
        <w:t>2023</w:t>
      </w:r>
      <w:r w:rsidRPr="00C8179F">
        <w:rPr>
          <w:rFonts w:ascii="Arial" w:eastAsia="Times New Roman" w:hAnsi="Arial" w:cs="Arial"/>
        </w:rPr>
        <w:t xml:space="preserve"> è controbilanciata dalla contrazione del secondo trimestre, mentre sembra più che probabile il raggiungimento degli obiettivi di crescita formulati dal governo nel Def di aprile. I dati forniscono indicazioni importanti sulle differenti tendenze in atto ed invitano a </w:t>
      </w:r>
      <w:r w:rsidRPr="003461EC">
        <w:rPr>
          <w:rFonts w:ascii="Arial" w:eastAsia="Times New Roman" w:hAnsi="Arial" w:cs="Arial"/>
        </w:rPr>
        <w:t xml:space="preserve">calibrare al meglio le politiche industriali. </w:t>
      </w:r>
      <w:r w:rsidR="004A1072" w:rsidRPr="003461EC">
        <w:rPr>
          <w:rFonts w:ascii="Arial" w:eastAsia="Times New Roman" w:hAnsi="Arial" w:cs="Arial"/>
        </w:rPr>
        <w:t>Infatti, al buon recupero delle imprese turistiche si associa una evidente difficoltà delle imprese del commercio</w:t>
      </w:r>
      <w:r w:rsidRPr="003461EC">
        <w:rPr>
          <w:rFonts w:ascii="Arial" w:eastAsia="Times New Roman" w:hAnsi="Arial" w:cs="Arial"/>
        </w:rPr>
        <w:t>. Ma la preoccupazione maggiore è per un possibile contraccolpo negativo nel</w:t>
      </w:r>
      <w:r w:rsidR="005F7B34" w:rsidRPr="003461EC">
        <w:rPr>
          <w:rFonts w:ascii="Arial" w:eastAsia="Times New Roman" w:hAnsi="Arial" w:cs="Arial"/>
        </w:rPr>
        <w:t xml:space="preserve"> volume dei ricavi e nella redditività per il</w:t>
      </w:r>
      <w:r w:rsidRPr="003461EC">
        <w:rPr>
          <w:rFonts w:ascii="Arial" w:eastAsia="Times New Roman" w:hAnsi="Arial" w:cs="Arial"/>
        </w:rPr>
        <w:t xml:space="preserve"> 2024</w:t>
      </w:r>
      <w:r w:rsidR="002A1560" w:rsidRPr="003461EC">
        <w:rPr>
          <w:rFonts w:ascii="Arial" w:eastAsia="Times New Roman" w:hAnsi="Arial" w:cs="Arial"/>
        </w:rPr>
        <w:t>,</w:t>
      </w:r>
      <w:r w:rsidRPr="003461EC">
        <w:rPr>
          <w:rFonts w:ascii="Arial" w:eastAsia="Times New Roman" w:hAnsi="Arial" w:cs="Arial"/>
        </w:rPr>
        <w:t xml:space="preserve"> come conseguenza</w:t>
      </w:r>
      <w:r w:rsidRPr="00C8179F">
        <w:rPr>
          <w:rFonts w:ascii="Arial" w:eastAsia="Times New Roman" w:hAnsi="Arial" w:cs="Arial"/>
        </w:rPr>
        <w:t xml:space="preserve"> anche della revisione al rialzo delle stime di crescita del Pil per </w:t>
      </w:r>
      <w:r w:rsidR="00856729" w:rsidRPr="00C8179F">
        <w:rPr>
          <w:rFonts w:ascii="Arial" w:eastAsia="Times New Roman" w:hAnsi="Arial" w:cs="Arial"/>
        </w:rPr>
        <w:t>il 2023</w:t>
      </w:r>
      <w:r w:rsidRPr="00C8179F">
        <w:rPr>
          <w:rFonts w:ascii="Arial" w:eastAsia="Times New Roman" w:hAnsi="Arial" w:cs="Arial"/>
        </w:rPr>
        <w:t xml:space="preserve">. Raccomandiamo, perciò, la </w:t>
      </w:r>
      <w:r w:rsidRPr="003461EC">
        <w:rPr>
          <w:rFonts w:ascii="Arial" w:eastAsia="Times New Roman" w:hAnsi="Arial" w:cs="Arial"/>
          <w:b/>
          <w:bCs/>
        </w:rPr>
        <w:t>massima prudenza nelle politiche di bilancio da parte delle imprese</w:t>
      </w:r>
      <w:r w:rsidRPr="00C8179F">
        <w:rPr>
          <w:rFonts w:ascii="Arial" w:eastAsia="Times New Roman" w:hAnsi="Arial" w:cs="Arial"/>
        </w:rPr>
        <w:t xml:space="preserve"> a partire dall</w:t>
      </w:r>
      <w:r w:rsidR="00856729" w:rsidRPr="00C8179F">
        <w:rPr>
          <w:rFonts w:ascii="Arial" w:eastAsia="Times New Roman" w:hAnsi="Arial" w:cs="Arial"/>
        </w:rPr>
        <w:t>’</w:t>
      </w:r>
      <w:r w:rsidRPr="00C8179F">
        <w:rPr>
          <w:rFonts w:ascii="Arial" w:eastAsia="Times New Roman" w:hAnsi="Arial" w:cs="Arial"/>
        </w:rPr>
        <w:t xml:space="preserve">anno in corso ed </w:t>
      </w:r>
      <w:r w:rsidRPr="003461EC">
        <w:rPr>
          <w:rFonts w:ascii="Arial" w:eastAsia="Times New Roman" w:hAnsi="Arial" w:cs="Arial"/>
          <w:b/>
          <w:bCs/>
        </w:rPr>
        <w:t>invitiamo il governo a rafforzare per quanto possibile l</w:t>
      </w:r>
      <w:r w:rsidR="00B73407" w:rsidRPr="003461EC">
        <w:rPr>
          <w:rFonts w:ascii="Arial" w:eastAsia="Times New Roman" w:hAnsi="Arial" w:cs="Arial"/>
          <w:b/>
          <w:bCs/>
        </w:rPr>
        <w:t>’</w:t>
      </w:r>
      <w:r w:rsidRPr="003461EC">
        <w:rPr>
          <w:rFonts w:ascii="Arial" w:eastAsia="Times New Roman" w:hAnsi="Arial" w:cs="Arial"/>
          <w:b/>
          <w:bCs/>
        </w:rPr>
        <w:t xml:space="preserve">azione di sostegno </w:t>
      </w:r>
      <w:r w:rsidR="002A1560" w:rsidRPr="003461EC">
        <w:rPr>
          <w:rFonts w:ascii="Arial" w:eastAsia="Times New Roman" w:hAnsi="Arial" w:cs="Arial"/>
          <w:b/>
          <w:bCs/>
        </w:rPr>
        <w:t>nei loro confronti</w:t>
      </w:r>
      <w:r w:rsidR="005F7B34" w:rsidRPr="00C8179F">
        <w:rPr>
          <w:rFonts w:ascii="Arial" w:eastAsia="Times New Roman" w:hAnsi="Arial" w:cs="Arial"/>
        </w:rPr>
        <w:t>. In particolare, oltre alla riforma fiscale</w:t>
      </w:r>
      <w:r w:rsidR="00856729" w:rsidRPr="00C8179F">
        <w:rPr>
          <w:rFonts w:ascii="Arial" w:eastAsia="Times New Roman" w:hAnsi="Arial" w:cs="Arial"/>
        </w:rPr>
        <w:t>,</w:t>
      </w:r>
      <w:r w:rsidR="005F7B34" w:rsidRPr="00C8179F">
        <w:rPr>
          <w:rFonts w:ascii="Arial" w:eastAsia="Times New Roman" w:hAnsi="Arial" w:cs="Arial"/>
        </w:rPr>
        <w:t xml:space="preserve"> che certamente favorirà la compliance rendendola anche più efficiente e meno onerosa, ribadiamo la necessità di prevedere misure finanziarie in grado di permettere un atterraggio morbido delle imprese</w:t>
      </w:r>
      <w:r w:rsidR="00856729" w:rsidRPr="00C8179F">
        <w:rPr>
          <w:rFonts w:ascii="Arial" w:eastAsia="Times New Roman" w:hAnsi="Arial" w:cs="Arial"/>
        </w:rPr>
        <w:t>. N</w:t>
      </w:r>
      <w:r w:rsidR="005F7B34" w:rsidRPr="00C8179F">
        <w:rPr>
          <w:rFonts w:ascii="Arial" w:eastAsia="Times New Roman" w:hAnsi="Arial" w:cs="Arial"/>
        </w:rPr>
        <w:t xml:space="preserve">on solo un </w:t>
      </w:r>
      <w:r w:rsidR="005F7B34" w:rsidRPr="003461EC">
        <w:rPr>
          <w:rFonts w:ascii="Arial" w:eastAsia="Times New Roman" w:hAnsi="Arial" w:cs="Arial"/>
          <w:b/>
          <w:bCs/>
        </w:rPr>
        <w:t>rafforzamento delle garanzie pubbliche per il credito alle Pmi</w:t>
      </w:r>
      <w:r w:rsidR="00856729" w:rsidRPr="00C8179F">
        <w:rPr>
          <w:rFonts w:ascii="Arial" w:eastAsia="Times New Roman" w:hAnsi="Arial" w:cs="Arial"/>
        </w:rPr>
        <w:t>,</w:t>
      </w:r>
      <w:r w:rsidR="005F7B34" w:rsidRPr="00C8179F">
        <w:rPr>
          <w:rFonts w:ascii="Arial" w:eastAsia="Times New Roman" w:hAnsi="Arial" w:cs="Arial"/>
        </w:rPr>
        <w:t xml:space="preserve"> ma anche </w:t>
      </w:r>
      <w:r w:rsidR="006028D8" w:rsidRPr="003461EC">
        <w:rPr>
          <w:rFonts w:ascii="Arial" w:eastAsia="Times New Roman" w:hAnsi="Arial" w:cs="Arial"/>
        </w:rPr>
        <w:t>l’</w:t>
      </w:r>
      <w:r w:rsidR="006028D8" w:rsidRPr="003461EC">
        <w:rPr>
          <w:rFonts w:ascii="Arial" w:eastAsia="Times New Roman" w:hAnsi="Arial" w:cs="Arial"/>
          <w:b/>
          <w:bCs/>
        </w:rPr>
        <w:t>allungamento delle rate per le imprese più in difficoltà con il fisco</w:t>
      </w:r>
      <w:r w:rsidRPr="00C8179F">
        <w:rPr>
          <w:rFonts w:ascii="Arial" w:eastAsia="Times New Roman" w:hAnsi="Arial" w:cs="Arial"/>
        </w:rPr>
        <w:t>”.  </w:t>
      </w:r>
    </w:p>
    <w:sectPr w:rsidR="00D4016C" w:rsidRPr="00C8179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2142" w14:textId="77777777" w:rsidR="0079694A" w:rsidRDefault="0079694A" w:rsidP="00A25D50">
      <w:r>
        <w:separator/>
      </w:r>
    </w:p>
  </w:endnote>
  <w:endnote w:type="continuationSeparator" w:id="0">
    <w:p w14:paraId="6626CA67" w14:textId="77777777" w:rsidR="0079694A" w:rsidRDefault="0079694A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FB0D" w14:textId="77777777" w:rsidR="0079694A" w:rsidRDefault="0079694A" w:rsidP="00A25D50">
      <w:r>
        <w:separator/>
      </w:r>
    </w:p>
  </w:footnote>
  <w:footnote w:type="continuationSeparator" w:id="0">
    <w:p w14:paraId="03210C62" w14:textId="77777777" w:rsidR="0079694A" w:rsidRDefault="0079694A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BB03E0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333C"/>
    <w:multiLevelType w:val="multilevel"/>
    <w:tmpl w:val="A0F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613441">
    <w:abstractNumId w:val="0"/>
  </w:num>
  <w:num w:numId="2" w16cid:durableId="102382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0"/>
    <w:rsid w:val="00012E93"/>
    <w:rsid w:val="00020A2E"/>
    <w:rsid w:val="00027BE3"/>
    <w:rsid w:val="00040758"/>
    <w:rsid w:val="00041437"/>
    <w:rsid w:val="00051B2D"/>
    <w:rsid w:val="00055C12"/>
    <w:rsid w:val="00080E29"/>
    <w:rsid w:val="0009108B"/>
    <w:rsid w:val="000A3C95"/>
    <w:rsid w:val="000B23B8"/>
    <w:rsid w:val="000C4581"/>
    <w:rsid w:val="000F1CA8"/>
    <w:rsid w:val="00100682"/>
    <w:rsid w:val="001072C8"/>
    <w:rsid w:val="00116AAB"/>
    <w:rsid w:val="00116F76"/>
    <w:rsid w:val="00136CF7"/>
    <w:rsid w:val="001447D0"/>
    <w:rsid w:val="00164C51"/>
    <w:rsid w:val="00177F55"/>
    <w:rsid w:val="0018410F"/>
    <w:rsid w:val="001A0044"/>
    <w:rsid w:val="001A4D35"/>
    <w:rsid w:val="001C2753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3378D"/>
    <w:rsid w:val="0023688A"/>
    <w:rsid w:val="00237EC9"/>
    <w:rsid w:val="0024388C"/>
    <w:rsid w:val="00243892"/>
    <w:rsid w:val="00243F31"/>
    <w:rsid w:val="0024479F"/>
    <w:rsid w:val="002560E9"/>
    <w:rsid w:val="00261590"/>
    <w:rsid w:val="00267E62"/>
    <w:rsid w:val="002701F0"/>
    <w:rsid w:val="002704B6"/>
    <w:rsid w:val="00277377"/>
    <w:rsid w:val="002A143A"/>
    <w:rsid w:val="002A1560"/>
    <w:rsid w:val="002A46B8"/>
    <w:rsid w:val="002A4BF4"/>
    <w:rsid w:val="002A74FE"/>
    <w:rsid w:val="002B687E"/>
    <w:rsid w:val="002D1CA1"/>
    <w:rsid w:val="002D6DD8"/>
    <w:rsid w:val="002D7072"/>
    <w:rsid w:val="002F394D"/>
    <w:rsid w:val="003002C5"/>
    <w:rsid w:val="003103B5"/>
    <w:rsid w:val="00320A7F"/>
    <w:rsid w:val="00321740"/>
    <w:rsid w:val="00333A0F"/>
    <w:rsid w:val="0034189F"/>
    <w:rsid w:val="00344D7F"/>
    <w:rsid w:val="00345D40"/>
    <w:rsid w:val="003461EC"/>
    <w:rsid w:val="00347274"/>
    <w:rsid w:val="00356418"/>
    <w:rsid w:val="00365441"/>
    <w:rsid w:val="003771AB"/>
    <w:rsid w:val="00382DCB"/>
    <w:rsid w:val="0039121B"/>
    <w:rsid w:val="00394F50"/>
    <w:rsid w:val="003A2120"/>
    <w:rsid w:val="003A2DAE"/>
    <w:rsid w:val="003A52D9"/>
    <w:rsid w:val="003A643A"/>
    <w:rsid w:val="003A73E6"/>
    <w:rsid w:val="003A7441"/>
    <w:rsid w:val="003D44AF"/>
    <w:rsid w:val="003E3AB2"/>
    <w:rsid w:val="004328C7"/>
    <w:rsid w:val="00445463"/>
    <w:rsid w:val="00446E08"/>
    <w:rsid w:val="00463C7D"/>
    <w:rsid w:val="00467EB4"/>
    <w:rsid w:val="00473BFA"/>
    <w:rsid w:val="004A1072"/>
    <w:rsid w:val="004B1F06"/>
    <w:rsid w:val="004B5E7C"/>
    <w:rsid w:val="004C2230"/>
    <w:rsid w:val="004C59E2"/>
    <w:rsid w:val="004E34CF"/>
    <w:rsid w:val="004E3EC6"/>
    <w:rsid w:val="004F0506"/>
    <w:rsid w:val="004F1508"/>
    <w:rsid w:val="004F6EF6"/>
    <w:rsid w:val="0050036C"/>
    <w:rsid w:val="00503FF5"/>
    <w:rsid w:val="005135B9"/>
    <w:rsid w:val="00513CFB"/>
    <w:rsid w:val="00521290"/>
    <w:rsid w:val="0053620E"/>
    <w:rsid w:val="00537AF6"/>
    <w:rsid w:val="005409C2"/>
    <w:rsid w:val="00544C5E"/>
    <w:rsid w:val="005503BE"/>
    <w:rsid w:val="00553A4C"/>
    <w:rsid w:val="00555C56"/>
    <w:rsid w:val="00561CB7"/>
    <w:rsid w:val="00593C5F"/>
    <w:rsid w:val="005F7B34"/>
    <w:rsid w:val="006028D8"/>
    <w:rsid w:val="006150FC"/>
    <w:rsid w:val="00616BE9"/>
    <w:rsid w:val="00617055"/>
    <w:rsid w:val="00645F87"/>
    <w:rsid w:val="00646C55"/>
    <w:rsid w:val="006551CF"/>
    <w:rsid w:val="00655678"/>
    <w:rsid w:val="00661E00"/>
    <w:rsid w:val="00685BF9"/>
    <w:rsid w:val="006B0A61"/>
    <w:rsid w:val="006B282B"/>
    <w:rsid w:val="006B5515"/>
    <w:rsid w:val="006C090E"/>
    <w:rsid w:val="006C4593"/>
    <w:rsid w:val="006C5EA3"/>
    <w:rsid w:val="006D1107"/>
    <w:rsid w:val="006E31A4"/>
    <w:rsid w:val="006E76F5"/>
    <w:rsid w:val="00713B57"/>
    <w:rsid w:val="00723B75"/>
    <w:rsid w:val="00733833"/>
    <w:rsid w:val="00740F1F"/>
    <w:rsid w:val="007410F9"/>
    <w:rsid w:val="007451A9"/>
    <w:rsid w:val="00752EB4"/>
    <w:rsid w:val="00763CE4"/>
    <w:rsid w:val="00772CD8"/>
    <w:rsid w:val="00773C5F"/>
    <w:rsid w:val="00777FC6"/>
    <w:rsid w:val="007840AA"/>
    <w:rsid w:val="0079694A"/>
    <w:rsid w:val="00796CE3"/>
    <w:rsid w:val="007B477B"/>
    <w:rsid w:val="007B7972"/>
    <w:rsid w:val="007C2A85"/>
    <w:rsid w:val="007D16CA"/>
    <w:rsid w:val="007F482C"/>
    <w:rsid w:val="00801873"/>
    <w:rsid w:val="0080228B"/>
    <w:rsid w:val="00803B21"/>
    <w:rsid w:val="00840BF8"/>
    <w:rsid w:val="00856729"/>
    <w:rsid w:val="00871C17"/>
    <w:rsid w:val="00883612"/>
    <w:rsid w:val="00895B38"/>
    <w:rsid w:val="008A4E7C"/>
    <w:rsid w:val="008B3982"/>
    <w:rsid w:val="008B7959"/>
    <w:rsid w:val="008C67F8"/>
    <w:rsid w:val="008E140C"/>
    <w:rsid w:val="008E55E3"/>
    <w:rsid w:val="008F01F8"/>
    <w:rsid w:val="008F69B1"/>
    <w:rsid w:val="00901181"/>
    <w:rsid w:val="009032C8"/>
    <w:rsid w:val="00904442"/>
    <w:rsid w:val="009216A9"/>
    <w:rsid w:val="00935DC4"/>
    <w:rsid w:val="009558A6"/>
    <w:rsid w:val="009628A2"/>
    <w:rsid w:val="009679A1"/>
    <w:rsid w:val="009726DC"/>
    <w:rsid w:val="009831F7"/>
    <w:rsid w:val="009A680D"/>
    <w:rsid w:val="009B6359"/>
    <w:rsid w:val="009D18CC"/>
    <w:rsid w:val="009D2456"/>
    <w:rsid w:val="009E7F7F"/>
    <w:rsid w:val="00A11060"/>
    <w:rsid w:val="00A2361E"/>
    <w:rsid w:val="00A23A10"/>
    <w:rsid w:val="00A25D50"/>
    <w:rsid w:val="00A354DA"/>
    <w:rsid w:val="00A36955"/>
    <w:rsid w:val="00A41325"/>
    <w:rsid w:val="00A52EE7"/>
    <w:rsid w:val="00A547B5"/>
    <w:rsid w:val="00A618D3"/>
    <w:rsid w:val="00A655ED"/>
    <w:rsid w:val="00A74AA6"/>
    <w:rsid w:val="00A854AA"/>
    <w:rsid w:val="00A95968"/>
    <w:rsid w:val="00A97007"/>
    <w:rsid w:val="00AA5461"/>
    <w:rsid w:val="00AB547A"/>
    <w:rsid w:val="00AB5F8A"/>
    <w:rsid w:val="00AC55A1"/>
    <w:rsid w:val="00AE049F"/>
    <w:rsid w:val="00AE0BB1"/>
    <w:rsid w:val="00AE2F64"/>
    <w:rsid w:val="00AE2FF1"/>
    <w:rsid w:val="00AF51BD"/>
    <w:rsid w:val="00B154FD"/>
    <w:rsid w:val="00B17FC6"/>
    <w:rsid w:val="00B209C7"/>
    <w:rsid w:val="00B2654F"/>
    <w:rsid w:val="00B278C1"/>
    <w:rsid w:val="00B3308F"/>
    <w:rsid w:val="00B37BF6"/>
    <w:rsid w:val="00B42D9D"/>
    <w:rsid w:val="00B51C36"/>
    <w:rsid w:val="00B56245"/>
    <w:rsid w:val="00B61D1A"/>
    <w:rsid w:val="00B623C7"/>
    <w:rsid w:val="00B66331"/>
    <w:rsid w:val="00B709B4"/>
    <w:rsid w:val="00B73407"/>
    <w:rsid w:val="00B87066"/>
    <w:rsid w:val="00B90A8D"/>
    <w:rsid w:val="00BA19DE"/>
    <w:rsid w:val="00BA2388"/>
    <w:rsid w:val="00BB03E0"/>
    <w:rsid w:val="00BB3259"/>
    <w:rsid w:val="00BC0331"/>
    <w:rsid w:val="00BE1831"/>
    <w:rsid w:val="00BE5CB4"/>
    <w:rsid w:val="00BE5E8F"/>
    <w:rsid w:val="00C04C6A"/>
    <w:rsid w:val="00C17FC9"/>
    <w:rsid w:val="00C20913"/>
    <w:rsid w:val="00C25278"/>
    <w:rsid w:val="00C3730F"/>
    <w:rsid w:val="00C425CD"/>
    <w:rsid w:val="00C80173"/>
    <w:rsid w:val="00C8179F"/>
    <w:rsid w:val="00C82382"/>
    <w:rsid w:val="00C842CB"/>
    <w:rsid w:val="00C84922"/>
    <w:rsid w:val="00C87780"/>
    <w:rsid w:val="00C94AE7"/>
    <w:rsid w:val="00C974AB"/>
    <w:rsid w:val="00CC6E36"/>
    <w:rsid w:val="00CE59DD"/>
    <w:rsid w:val="00D00491"/>
    <w:rsid w:val="00D05EB0"/>
    <w:rsid w:val="00D245AF"/>
    <w:rsid w:val="00D31EDC"/>
    <w:rsid w:val="00D34D54"/>
    <w:rsid w:val="00D4016C"/>
    <w:rsid w:val="00D47282"/>
    <w:rsid w:val="00D47F8E"/>
    <w:rsid w:val="00D5260B"/>
    <w:rsid w:val="00D60ECD"/>
    <w:rsid w:val="00D626C3"/>
    <w:rsid w:val="00D64FD1"/>
    <w:rsid w:val="00D742E0"/>
    <w:rsid w:val="00D8383C"/>
    <w:rsid w:val="00D86F1A"/>
    <w:rsid w:val="00DA0ED2"/>
    <w:rsid w:val="00DA2E6A"/>
    <w:rsid w:val="00DB0771"/>
    <w:rsid w:val="00DB34E2"/>
    <w:rsid w:val="00DB64FB"/>
    <w:rsid w:val="00DC6813"/>
    <w:rsid w:val="00DD48F2"/>
    <w:rsid w:val="00DD5C85"/>
    <w:rsid w:val="00DE7244"/>
    <w:rsid w:val="00E10DEB"/>
    <w:rsid w:val="00E11401"/>
    <w:rsid w:val="00E33D05"/>
    <w:rsid w:val="00E4100D"/>
    <w:rsid w:val="00E80257"/>
    <w:rsid w:val="00E80398"/>
    <w:rsid w:val="00EA0E6A"/>
    <w:rsid w:val="00EC1A2D"/>
    <w:rsid w:val="00ED3B51"/>
    <w:rsid w:val="00ED55FF"/>
    <w:rsid w:val="00EE2F69"/>
    <w:rsid w:val="00EE3729"/>
    <w:rsid w:val="00F011E8"/>
    <w:rsid w:val="00F21C61"/>
    <w:rsid w:val="00F45169"/>
    <w:rsid w:val="00F50E42"/>
    <w:rsid w:val="00F53C83"/>
    <w:rsid w:val="00F54D2A"/>
    <w:rsid w:val="00F5789E"/>
    <w:rsid w:val="00F628B0"/>
    <w:rsid w:val="00F70F2A"/>
    <w:rsid w:val="00F80929"/>
    <w:rsid w:val="00F82E6C"/>
    <w:rsid w:val="00F910CC"/>
    <w:rsid w:val="00FB1FE4"/>
    <w:rsid w:val="00FC23F6"/>
    <w:rsid w:val="00FC7913"/>
    <w:rsid w:val="00FD5B72"/>
    <w:rsid w:val="00FD5F58"/>
    <w:rsid w:val="00FD6D4F"/>
    <w:rsid w:val="00FE1C1C"/>
    <w:rsid w:val="00FE4D78"/>
    <w:rsid w:val="00FF285E"/>
    <w:rsid w:val="00FF47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BE1831"/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BE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29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24</cp:revision>
  <cp:lastPrinted>2023-08-04T07:09:00Z</cp:lastPrinted>
  <dcterms:created xsi:type="dcterms:W3CDTF">2023-08-03T11:00:00Z</dcterms:created>
  <dcterms:modified xsi:type="dcterms:W3CDTF">2023-08-04T08:31:00Z</dcterms:modified>
</cp:coreProperties>
</file>