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AED" w14:textId="77777777" w:rsidR="005F6B93" w:rsidRPr="00DA569A" w:rsidRDefault="005F6B93" w:rsidP="00DA5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2ACF443D" w14:textId="697148D2" w:rsidR="007D361E" w:rsidRPr="00DA569A" w:rsidRDefault="007D361E" w:rsidP="00DA569A">
      <w:pPr>
        <w:shd w:val="clear" w:color="auto" w:fill="FFFFFF"/>
        <w:jc w:val="center"/>
        <w:rPr>
          <w:rFonts w:ascii="Arial" w:hAnsi="Arial" w:cs="Arial"/>
          <w:color w:val="000000"/>
          <w:shd w:val="clear" w:color="auto" w:fill="FFFFFF"/>
        </w:rPr>
      </w:pPr>
      <w:bookmarkStart w:id="0" w:name="_gjdgxs" w:colFirst="0" w:colLast="0"/>
      <w:bookmarkEnd w:id="0"/>
      <w:r w:rsidRPr="00DA569A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</w:p>
    <w:p w14:paraId="077CA1C5" w14:textId="28A6C76A" w:rsidR="00C2303C" w:rsidRDefault="007D361E" w:rsidP="00C2303C">
      <w:pPr>
        <w:jc w:val="both"/>
        <w:rPr>
          <w:rFonts w:ascii="Arial" w:hAnsi="Arial" w:cs="Arial"/>
          <w:sz w:val="24"/>
          <w:szCs w:val="24"/>
        </w:rPr>
      </w:pPr>
      <w:r w:rsidRPr="00DA569A">
        <w:rPr>
          <w:rFonts w:ascii="Arial" w:hAnsi="Arial" w:cs="Arial"/>
          <w:color w:val="000000"/>
          <w:sz w:val="24"/>
          <w:szCs w:val="24"/>
          <w:shd w:val="clear" w:color="auto" w:fill="FFFFFF"/>
        </w:rPr>
        <w:t>  </w:t>
      </w:r>
    </w:p>
    <w:p w14:paraId="403979AD" w14:textId="14A29176" w:rsidR="00C2303C" w:rsidRDefault="000B5619" w:rsidP="00ED7C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303C">
        <w:rPr>
          <w:rFonts w:ascii="Arial" w:hAnsi="Arial" w:cs="Arial"/>
          <w:b/>
          <w:bCs/>
          <w:sz w:val="24"/>
          <w:szCs w:val="24"/>
        </w:rPr>
        <w:t>COMPETITIVITÀ DEI CAPITALI</w:t>
      </w:r>
      <w:r>
        <w:rPr>
          <w:rFonts w:ascii="Arial" w:hAnsi="Arial" w:cs="Arial"/>
          <w:b/>
          <w:bCs/>
          <w:sz w:val="24"/>
          <w:szCs w:val="24"/>
        </w:rPr>
        <w:t>, COMMERCIALISTI: “DDL APPREZZABILE, MA SERVONO PRESIDI PER INVESTITORI E SOCIET</w:t>
      </w:r>
      <w:r w:rsidR="0006120C">
        <w:rPr>
          <w:rFonts w:ascii="Arial" w:hAnsi="Arial" w:cs="Arial"/>
          <w:b/>
          <w:bCs/>
          <w:sz w:val="24"/>
          <w:szCs w:val="24"/>
        </w:rPr>
        <w:t xml:space="preserve">À </w:t>
      </w:r>
      <w:r>
        <w:rPr>
          <w:rFonts w:ascii="Arial" w:hAnsi="Arial" w:cs="Arial"/>
          <w:b/>
          <w:bCs/>
          <w:sz w:val="24"/>
          <w:szCs w:val="24"/>
        </w:rPr>
        <w:t>EMITTENTI</w:t>
      </w:r>
      <w:r w:rsidR="00835DFC">
        <w:rPr>
          <w:rFonts w:ascii="Arial" w:hAnsi="Arial" w:cs="Arial"/>
          <w:b/>
          <w:bCs/>
          <w:sz w:val="24"/>
          <w:szCs w:val="24"/>
        </w:rPr>
        <w:t>”</w:t>
      </w:r>
    </w:p>
    <w:p w14:paraId="484CB435" w14:textId="77777777" w:rsidR="00ED7CE8" w:rsidRDefault="00ED7CE8" w:rsidP="00C2303C">
      <w:pPr>
        <w:jc w:val="both"/>
        <w:rPr>
          <w:rFonts w:ascii="Arial" w:hAnsi="Arial" w:cs="Arial"/>
          <w:sz w:val="24"/>
          <w:szCs w:val="24"/>
        </w:rPr>
      </w:pPr>
    </w:p>
    <w:p w14:paraId="0CC75845" w14:textId="029C7BF9" w:rsidR="00C2303C" w:rsidRPr="00DA569A" w:rsidRDefault="00DA569A" w:rsidP="00C2303C">
      <w:pPr>
        <w:jc w:val="both"/>
        <w:rPr>
          <w:rFonts w:ascii="Arial" w:hAnsi="Arial" w:cs="Arial"/>
          <w:sz w:val="24"/>
          <w:szCs w:val="24"/>
        </w:rPr>
      </w:pPr>
      <w:r w:rsidRPr="00ED7CE8">
        <w:rPr>
          <w:rFonts w:ascii="Arial" w:hAnsi="Arial" w:cs="Arial"/>
          <w:i/>
          <w:iCs/>
          <w:sz w:val="24"/>
          <w:szCs w:val="24"/>
        </w:rPr>
        <w:t>Roma, 7 giugno 2023 –</w:t>
      </w:r>
      <w:r>
        <w:rPr>
          <w:rFonts w:ascii="Arial" w:hAnsi="Arial" w:cs="Arial"/>
          <w:sz w:val="24"/>
          <w:szCs w:val="24"/>
        </w:rPr>
        <w:t xml:space="preserve"> “Un intervento </w:t>
      </w:r>
      <w:r w:rsidRPr="00C2303C">
        <w:rPr>
          <w:rFonts w:ascii="Arial" w:hAnsi="Arial" w:cs="Arial"/>
          <w:b/>
          <w:bCs/>
          <w:sz w:val="24"/>
          <w:szCs w:val="24"/>
        </w:rPr>
        <w:t>apprezzabile</w:t>
      </w:r>
      <w:r>
        <w:rPr>
          <w:rFonts w:ascii="Arial" w:hAnsi="Arial" w:cs="Arial"/>
          <w:sz w:val="24"/>
          <w:szCs w:val="24"/>
        </w:rPr>
        <w:t xml:space="preserve">, </w:t>
      </w:r>
      <w:r w:rsidRPr="00DA569A">
        <w:rPr>
          <w:rFonts w:ascii="Arial" w:hAnsi="Arial" w:cs="Arial"/>
          <w:sz w:val="24"/>
          <w:szCs w:val="24"/>
        </w:rPr>
        <w:t xml:space="preserve">volto alla </w:t>
      </w:r>
      <w:r w:rsidRPr="00C2303C">
        <w:rPr>
          <w:rFonts w:ascii="Arial" w:hAnsi="Arial" w:cs="Arial"/>
          <w:b/>
          <w:bCs/>
          <w:sz w:val="24"/>
          <w:szCs w:val="24"/>
        </w:rPr>
        <w:t>semplificazione</w:t>
      </w:r>
      <w:r w:rsidRPr="00DA569A">
        <w:rPr>
          <w:rFonts w:ascii="Arial" w:hAnsi="Arial" w:cs="Arial"/>
          <w:sz w:val="24"/>
          <w:szCs w:val="24"/>
        </w:rPr>
        <w:t xml:space="preserve"> e alla </w:t>
      </w:r>
      <w:r w:rsidRPr="00C2303C">
        <w:rPr>
          <w:rFonts w:ascii="Arial" w:hAnsi="Arial" w:cs="Arial"/>
          <w:b/>
          <w:bCs/>
          <w:sz w:val="24"/>
          <w:szCs w:val="24"/>
        </w:rPr>
        <w:t xml:space="preserve">razionalizzazione </w:t>
      </w:r>
      <w:r w:rsidRPr="00DA569A">
        <w:rPr>
          <w:rFonts w:ascii="Arial" w:hAnsi="Arial" w:cs="Arial"/>
          <w:sz w:val="24"/>
          <w:szCs w:val="24"/>
        </w:rPr>
        <w:t>del quadro normativo e regolamentare attuale</w:t>
      </w:r>
      <w:r>
        <w:rPr>
          <w:rFonts w:ascii="Arial" w:hAnsi="Arial" w:cs="Arial"/>
          <w:sz w:val="24"/>
          <w:szCs w:val="24"/>
        </w:rPr>
        <w:t xml:space="preserve"> con una </w:t>
      </w:r>
      <w:r w:rsidRPr="00DA569A">
        <w:rPr>
          <w:rFonts w:ascii="Arial" w:hAnsi="Arial" w:cs="Arial"/>
          <w:sz w:val="24"/>
          <w:szCs w:val="24"/>
        </w:rPr>
        <w:t xml:space="preserve">spinta </w:t>
      </w:r>
      <w:r>
        <w:rPr>
          <w:rFonts w:ascii="Arial" w:hAnsi="Arial" w:cs="Arial"/>
          <w:sz w:val="24"/>
          <w:szCs w:val="24"/>
        </w:rPr>
        <w:t>al</w:t>
      </w:r>
      <w:r w:rsidRPr="00DA569A">
        <w:rPr>
          <w:rFonts w:ascii="Arial" w:hAnsi="Arial" w:cs="Arial"/>
          <w:sz w:val="24"/>
          <w:szCs w:val="24"/>
        </w:rPr>
        <w:t xml:space="preserve">la </w:t>
      </w:r>
      <w:r w:rsidRPr="00C2303C">
        <w:rPr>
          <w:rFonts w:ascii="Arial" w:hAnsi="Arial" w:cs="Arial"/>
          <w:b/>
          <w:bCs/>
          <w:sz w:val="24"/>
          <w:szCs w:val="24"/>
        </w:rPr>
        <w:t>mobilizzazione e la canalizzazione</w:t>
      </w:r>
      <w:r w:rsidRPr="00DA569A">
        <w:rPr>
          <w:rFonts w:ascii="Arial" w:hAnsi="Arial" w:cs="Arial"/>
          <w:sz w:val="24"/>
          <w:szCs w:val="24"/>
        </w:rPr>
        <w:t xml:space="preserve"> dei risparmi privati verso le attività delle imprese</w:t>
      </w:r>
      <w:r>
        <w:rPr>
          <w:rFonts w:ascii="Arial" w:hAnsi="Arial" w:cs="Arial"/>
          <w:sz w:val="24"/>
          <w:szCs w:val="24"/>
        </w:rPr>
        <w:t xml:space="preserve">”. È il giudizio espresso dal </w:t>
      </w:r>
      <w:r w:rsidRPr="00ED7CE8">
        <w:rPr>
          <w:rFonts w:ascii="Arial" w:hAnsi="Arial" w:cs="Arial"/>
          <w:b/>
          <w:bCs/>
          <w:sz w:val="24"/>
          <w:szCs w:val="24"/>
        </w:rPr>
        <w:t>Consiglio nazionale dei commercialisti</w:t>
      </w:r>
      <w:r>
        <w:rPr>
          <w:rFonts w:ascii="Arial" w:hAnsi="Arial" w:cs="Arial"/>
          <w:sz w:val="24"/>
          <w:szCs w:val="24"/>
        </w:rPr>
        <w:t xml:space="preserve"> nel corso dell’audizione tenutasi oggi </w:t>
      </w:r>
      <w:r w:rsidRPr="00DA569A">
        <w:rPr>
          <w:rFonts w:ascii="Arial" w:hAnsi="Arial" w:cs="Arial"/>
          <w:sz w:val="24"/>
          <w:szCs w:val="24"/>
        </w:rPr>
        <w:t xml:space="preserve">presso la VI Commissione Finanze e tesoro del Senato </w:t>
      </w:r>
      <w:r>
        <w:rPr>
          <w:rFonts w:ascii="Arial" w:hAnsi="Arial" w:cs="Arial"/>
          <w:sz w:val="24"/>
          <w:szCs w:val="24"/>
        </w:rPr>
        <w:t>sul</w:t>
      </w:r>
      <w:r w:rsidRPr="00DA569A">
        <w:rPr>
          <w:rFonts w:ascii="Arial" w:hAnsi="Arial" w:cs="Arial"/>
          <w:sz w:val="24"/>
          <w:szCs w:val="24"/>
        </w:rPr>
        <w:t xml:space="preserve"> disegno di legge delega ”</w:t>
      </w:r>
      <w:r w:rsidRPr="00C2303C">
        <w:rPr>
          <w:rFonts w:ascii="Arial" w:hAnsi="Arial" w:cs="Arial"/>
          <w:b/>
          <w:bCs/>
          <w:sz w:val="24"/>
          <w:szCs w:val="24"/>
        </w:rPr>
        <w:t>Interventi a sostengo della competitività dei capitali</w:t>
      </w:r>
      <w:r w:rsidRPr="00DA569A">
        <w:rPr>
          <w:rFonts w:ascii="Arial" w:hAnsi="Arial" w:cs="Arial"/>
          <w:sz w:val="24"/>
          <w:szCs w:val="24"/>
        </w:rPr>
        <w:t xml:space="preserve">”. </w:t>
      </w:r>
      <w:r w:rsidR="00C2303C">
        <w:rPr>
          <w:rFonts w:ascii="Arial" w:hAnsi="Arial" w:cs="Arial"/>
          <w:sz w:val="24"/>
          <w:szCs w:val="24"/>
        </w:rPr>
        <w:t>Il Consiglio nazionale</w:t>
      </w:r>
      <w:r>
        <w:rPr>
          <w:rFonts w:ascii="Arial" w:hAnsi="Arial" w:cs="Arial"/>
          <w:sz w:val="24"/>
          <w:szCs w:val="24"/>
        </w:rPr>
        <w:t xml:space="preserve">, </w:t>
      </w:r>
      <w:r w:rsidR="00C2303C">
        <w:rPr>
          <w:rFonts w:ascii="Arial" w:hAnsi="Arial" w:cs="Arial"/>
          <w:sz w:val="24"/>
          <w:szCs w:val="24"/>
        </w:rPr>
        <w:t>n</w:t>
      </w:r>
      <w:r w:rsidR="00C2303C" w:rsidRPr="00DA569A">
        <w:rPr>
          <w:rFonts w:ascii="Arial" w:hAnsi="Arial" w:cs="Arial"/>
          <w:sz w:val="24"/>
          <w:szCs w:val="24"/>
        </w:rPr>
        <w:t xml:space="preserve">ell’ottica di avviare un </w:t>
      </w:r>
      <w:r w:rsidR="00ED7CE8">
        <w:rPr>
          <w:rFonts w:ascii="Arial" w:hAnsi="Arial" w:cs="Arial"/>
          <w:sz w:val="24"/>
          <w:szCs w:val="24"/>
        </w:rPr>
        <w:t>“</w:t>
      </w:r>
      <w:r w:rsidR="00C2303C" w:rsidRPr="00ED7CE8">
        <w:rPr>
          <w:rFonts w:ascii="Arial" w:hAnsi="Arial" w:cs="Arial"/>
          <w:b/>
          <w:bCs/>
          <w:sz w:val="24"/>
          <w:szCs w:val="24"/>
        </w:rPr>
        <w:t>proficuo confronto</w:t>
      </w:r>
      <w:r w:rsidR="00ED7CE8">
        <w:rPr>
          <w:rFonts w:ascii="Arial" w:hAnsi="Arial" w:cs="Arial"/>
          <w:b/>
          <w:bCs/>
          <w:sz w:val="24"/>
          <w:szCs w:val="24"/>
        </w:rPr>
        <w:t>”</w:t>
      </w:r>
      <w:r w:rsidR="00C2303C" w:rsidRPr="00DA569A">
        <w:rPr>
          <w:rFonts w:ascii="Arial" w:hAnsi="Arial" w:cs="Arial"/>
          <w:sz w:val="24"/>
          <w:szCs w:val="24"/>
        </w:rPr>
        <w:t xml:space="preserve"> con le istituzion</w:t>
      </w:r>
      <w:r w:rsidR="00C2303C">
        <w:rPr>
          <w:rFonts w:ascii="Arial" w:hAnsi="Arial" w:cs="Arial"/>
          <w:sz w:val="24"/>
          <w:szCs w:val="24"/>
        </w:rPr>
        <w:t xml:space="preserve">i </w:t>
      </w:r>
      <w:r w:rsidR="00C2303C" w:rsidRPr="00DA569A">
        <w:rPr>
          <w:rFonts w:ascii="Arial" w:hAnsi="Arial" w:cs="Arial"/>
          <w:sz w:val="24"/>
          <w:szCs w:val="24"/>
        </w:rPr>
        <w:t xml:space="preserve">e in particolare con la commissione </w:t>
      </w:r>
      <w:r w:rsidR="00C2303C">
        <w:rPr>
          <w:rFonts w:ascii="Arial" w:hAnsi="Arial" w:cs="Arial"/>
          <w:sz w:val="24"/>
          <w:szCs w:val="24"/>
        </w:rPr>
        <w:t>F</w:t>
      </w:r>
      <w:r w:rsidR="00C2303C" w:rsidRPr="00DA569A">
        <w:rPr>
          <w:rFonts w:ascii="Arial" w:hAnsi="Arial" w:cs="Arial"/>
          <w:sz w:val="24"/>
          <w:szCs w:val="24"/>
        </w:rPr>
        <w:t xml:space="preserve">inanze e tesoro del Senato </w:t>
      </w:r>
      <w:r w:rsidR="00C2303C">
        <w:rPr>
          <w:rFonts w:ascii="Arial" w:hAnsi="Arial" w:cs="Arial"/>
          <w:sz w:val="24"/>
          <w:szCs w:val="24"/>
        </w:rPr>
        <w:t>“</w:t>
      </w:r>
      <w:r w:rsidR="00C2303C" w:rsidRPr="00DA569A">
        <w:rPr>
          <w:rFonts w:ascii="Arial" w:hAnsi="Arial" w:cs="Arial"/>
          <w:sz w:val="24"/>
          <w:szCs w:val="24"/>
        </w:rPr>
        <w:t>per la predisposizione di un testo normativo che riesca a garantire gli obiettivi che la stessa Commissione si è prefissata</w:t>
      </w:r>
      <w:r w:rsidR="00C2303C">
        <w:rPr>
          <w:rFonts w:ascii="Arial" w:hAnsi="Arial" w:cs="Arial"/>
          <w:sz w:val="24"/>
          <w:szCs w:val="24"/>
        </w:rPr>
        <w:t>”</w:t>
      </w:r>
      <w:r w:rsidR="00C2303C" w:rsidRPr="00DA569A">
        <w:rPr>
          <w:rFonts w:ascii="Arial" w:hAnsi="Arial" w:cs="Arial"/>
          <w:sz w:val="24"/>
          <w:szCs w:val="24"/>
        </w:rPr>
        <w:t xml:space="preserve">, ha fornito indicazioni su alcuni aspetti della normativa in esame </w:t>
      </w:r>
      <w:r w:rsidR="00C2303C">
        <w:rPr>
          <w:rFonts w:ascii="Arial" w:hAnsi="Arial" w:cs="Arial"/>
          <w:sz w:val="24"/>
          <w:szCs w:val="24"/>
        </w:rPr>
        <w:t>“</w:t>
      </w:r>
      <w:r w:rsidR="00C2303C" w:rsidRPr="00DA569A">
        <w:rPr>
          <w:rFonts w:ascii="Arial" w:hAnsi="Arial" w:cs="Arial"/>
          <w:sz w:val="24"/>
          <w:szCs w:val="24"/>
        </w:rPr>
        <w:t xml:space="preserve">che dovrebbero essere oggetto di </w:t>
      </w:r>
      <w:r w:rsidR="00C2303C" w:rsidRPr="00ED7CE8">
        <w:rPr>
          <w:rFonts w:ascii="Arial" w:hAnsi="Arial" w:cs="Arial"/>
          <w:b/>
          <w:bCs/>
          <w:sz w:val="24"/>
          <w:szCs w:val="24"/>
        </w:rPr>
        <w:t>ulteriore approfondimento</w:t>
      </w:r>
      <w:r w:rsidR="00C2303C">
        <w:rPr>
          <w:rFonts w:ascii="Arial" w:hAnsi="Arial" w:cs="Arial"/>
          <w:sz w:val="24"/>
          <w:szCs w:val="24"/>
        </w:rPr>
        <w:t>”</w:t>
      </w:r>
      <w:r w:rsidR="00C2303C" w:rsidRPr="00DA569A">
        <w:rPr>
          <w:rFonts w:ascii="Arial" w:hAnsi="Arial" w:cs="Arial"/>
          <w:sz w:val="24"/>
          <w:szCs w:val="24"/>
        </w:rPr>
        <w:t>.</w:t>
      </w:r>
    </w:p>
    <w:p w14:paraId="389E4882" w14:textId="5691F74D" w:rsidR="00C2303C" w:rsidRDefault="00C2303C" w:rsidP="00DA569A">
      <w:pPr>
        <w:jc w:val="both"/>
        <w:rPr>
          <w:rFonts w:ascii="Arial" w:hAnsi="Arial" w:cs="Arial"/>
          <w:sz w:val="24"/>
          <w:szCs w:val="24"/>
        </w:rPr>
      </w:pPr>
    </w:p>
    <w:p w14:paraId="2A58C7CD" w14:textId="0AD92EA0" w:rsidR="00C2303C" w:rsidRDefault="00C2303C" w:rsidP="00DA56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Secondo il </w:t>
      </w:r>
      <w:r w:rsidR="00DA569A">
        <w:rPr>
          <w:rFonts w:ascii="Arial" w:hAnsi="Arial" w:cs="Arial"/>
          <w:sz w:val="24"/>
          <w:szCs w:val="24"/>
        </w:rPr>
        <w:t xml:space="preserve">Consigliere nazionale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David Moro</w:t>
      </w:r>
      <w:r w:rsidR="00DA569A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 xml:space="preserve">c’è </w:t>
      </w:r>
      <w:r w:rsidR="00DA569A" w:rsidRPr="00DA569A">
        <w:rPr>
          <w:rFonts w:ascii="Arial" w:hAnsi="Arial" w:cs="Arial"/>
          <w:sz w:val="24"/>
          <w:szCs w:val="24"/>
        </w:rPr>
        <w:t>l</w:t>
      </w:r>
      <w:r w:rsidR="00DA569A">
        <w:rPr>
          <w:rFonts w:ascii="Arial" w:hAnsi="Arial" w:cs="Arial"/>
          <w:sz w:val="24"/>
          <w:szCs w:val="24"/>
        </w:rPr>
        <w:t xml:space="preserve">a necessità </w:t>
      </w:r>
      <w:r w:rsidR="00DA569A" w:rsidRPr="00DA569A">
        <w:rPr>
          <w:rFonts w:ascii="Arial" w:hAnsi="Arial" w:cs="Arial"/>
          <w:sz w:val="24"/>
          <w:szCs w:val="24"/>
        </w:rPr>
        <w:t xml:space="preserve">di assicurare la presenza di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presidi</w:t>
      </w:r>
      <w:r w:rsidR="00DA569A" w:rsidRPr="00DA569A">
        <w:rPr>
          <w:rFonts w:ascii="Arial" w:hAnsi="Arial" w:cs="Arial"/>
          <w:sz w:val="24"/>
          <w:szCs w:val="24"/>
        </w:rPr>
        <w:t xml:space="preserve"> per gli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investitori</w:t>
      </w:r>
      <w:r w:rsidR="00DA569A" w:rsidRPr="00DA569A">
        <w:rPr>
          <w:rFonts w:ascii="Arial" w:hAnsi="Arial" w:cs="Arial"/>
          <w:sz w:val="24"/>
          <w:szCs w:val="24"/>
        </w:rPr>
        <w:t xml:space="preserve"> e le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società emittenti</w:t>
      </w:r>
      <w:r w:rsidR="00DA569A">
        <w:rPr>
          <w:rFonts w:ascii="Arial" w:hAnsi="Arial" w:cs="Arial"/>
          <w:sz w:val="24"/>
          <w:szCs w:val="24"/>
        </w:rPr>
        <w:t>”</w:t>
      </w:r>
      <w:r w:rsidR="00DA569A" w:rsidRPr="00DA569A">
        <w:rPr>
          <w:rFonts w:ascii="Arial" w:hAnsi="Arial" w:cs="Arial"/>
          <w:sz w:val="24"/>
          <w:szCs w:val="24"/>
        </w:rPr>
        <w:t>.</w:t>
      </w:r>
      <w:r w:rsidR="00DA569A">
        <w:rPr>
          <w:rFonts w:ascii="Arial" w:hAnsi="Arial" w:cs="Arial"/>
          <w:sz w:val="24"/>
          <w:szCs w:val="24"/>
        </w:rPr>
        <w:t xml:space="preserve"> “</w:t>
      </w:r>
      <w:r w:rsidR="00DA569A" w:rsidRPr="00DA569A">
        <w:rPr>
          <w:rFonts w:ascii="Arial" w:hAnsi="Arial" w:cs="Arial"/>
          <w:sz w:val="24"/>
          <w:szCs w:val="24"/>
        </w:rPr>
        <w:t>In questa prospettiva</w:t>
      </w:r>
      <w:r>
        <w:rPr>
          <w:rFonts w:ascii="Arial" w:hAnsi="Arial" w:cs="Arial"/>
          <w:sz w:val="24"/>
          <w:szCs w:val="24"/>
        </w:rPr>
        <w:t xml:space="preserve"> – ha affermato - </w:t>
      </w:r>
      <w:r w:rsidR="00DA569A" w:rsidRPr="00DA569A">
        <w:rPr>
          <w:rFonts w:ascii="Arial" w:hAnsi="Arial" w:cs="Arial"/>
          <w:sz w:val="24"/>
          <w:szCs w:val="24"/>
        </w:rPr>
        <w:t xml:space="preserve"> desta qualche perplessità l’assenza di un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regime normativo completo dell</w:t>
      </w:r>
      <w:r w:rsidR="00ED7CE8">
        <w:rPr>
          <w:rFonts w:ascii="Arial" w:hAnsi="Arial" w:cs="Arial"/>
          <w:b/>
          <w:bCs/>
          <w:sz w:val="24"/>
          <w:szCs w:val="24"/>
        </w:rPr>
        <w:t>e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 xml:space="preserve"> nuove SRL PMI</w:t>
      </w:r>
      <w:r w:rsidR="00DA569A" w:rsidRPr="00DA569A">
        <w:rPr>
          <w:rFonts w:ascii="Arial" w:hAnsi="Arial" w:cs="Arial"/>
          <w:sz w:val="24"/>
          <w:szCs w:val="24"/>
        </w:rPr>
        <w:t xml:space="preserve">, oggetto di reiterati interventi normativi nell’ultimo decennio, che nelle ipotizzate previsioni del DDL potranno avere accesso a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sistemi di dematerializzazione delle quote</w:t>
      </w:r>
      <w:r w:rsidR="00DA569A" w:rsidRPr="00DA569A">
        <w:rPr>
          <w:rFonts w:ascii="Arial" w:hAnsi="Arial" w:cs="Arial"/>
          <w:sz w:val="24"/>
          <w:szCs w:val="24"/>
        </w:rPr>
        <w:t xml:space="preserve"> simili a quelle in uso per le </w:t>
      </w:r>
      <w:r w:rsidR="000B5619" w:rsidRPr="00ED7CE8">
        <w:rPr>
          <w:rFonts w:ascii="Arial" w:hAnsi="Arial" w:cs="Arial"/>
          <w:b/>
          <w:bCs/>
          <w:sz w:val="24"/>
          <w:szCs w:val="24"/>
        </w:rPr>
        <w:t>Sp</w:t>
      </w:r>
      <w:r w:rsidR="00EC36D9">
        <w:rPr>
          <w:rFonts w:ascii="Arial" w:hAnsi="Arial" w:cs="Arial"/>
          <w:b/>
          <w:bCs/>
          <w:sz w:val="24"/>
          <w:szCs w:val="24"/>
        </w:rPr>
        <w:t>a</w:t>
      </w:r>
      <w:r w:rsidR="000B5619" w:rsidRPr="00ED7CE8">
        <w:rPr>
          <w:rFonts w:ascii="Arial" w:hAnsi="Arial" w:cs="Arial"/>
          <w:b/>
          <w:bCs/>
          <w:sz w:val="24"/>
          <w:szCs w:val="24"/>
        </w:rPr>
        <w:t>.</w:t>
      </w:r>
      <w:r w:rsidR="00DA569A" w:rsidRPr="00DA569A">
        <w:rPr>
          <w:rFonts w:ascii="Arial" w:hAnsi="Arial" w:cs="Arial"/>
          <w:sz w:val="24"/>
          <w:szCs w:val="24"/>
        </w:rPr>
        <w:t xml:space="preserve"> Ci si </w:t>
      </w:r>
      <w:r>
        <w:rPr>
          <w:rFonts w:ascii="Arial" w:hAnsi="Arial" w:cs="Arial"/>
          <w:sz w:val="24"/>
          <w:szCs w:val="24"/>
        </w:rPr>
        <w:t xml:space="preserve">chiede se, </w:t>
      </w:r>
      <w:r w:rsidR="00DA569A" w:rsidRPr="00DA569A">
        <w:rPr>
          <w:rFonts w:ascii="Arial" w:hAnsi="Arial" w:cs="Arial"/>
          <w:sz w:val="24"/>
          <w:szCs w:val="24"/>
        </w:rPr>
        <w:t xml:space="preserve">considerate le rilevanti novità introdotte per le piccole e medie imprese costituite in forma di srl che tendono ad assottigliare le differenze con le PMI emittenti azioni quotate, non si renda necessario suggerire previsioni volte a definire uno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“statuto” normativo</w:t>
      </w:r>
      <w:r w:rsidR="00DA569A" w:rsidRPr="00DA569A">
        <w:rPr>
          <w:rFonts w:ascii="Arial" w:hAnsi="Arial" w:cs="Arial"/>
          <w:sz w:val="24"/>
          <w:szCs w:val="24"/>
        </w:rPr>
        <w:t xml:space="preserve"> di tali società in termini di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maggior rigore</w:t>
      </w:r>
      <w:r w:rsidR="00DA569A" w:rsidRPr="00DA569A">
        <w:rPr>
          <w:rFonts w:ascii="Arial" w:hAnsi="Arial" w:cs="Arial"/>
          <w:sz w:val="24"/>
          <w:szCs w:val="24"/>
        </w:rPr>
        <w:t xml:space="preserve"> rispetto a quanto già previsto nella disciplina codicistica e nell’ottica di offrire più ampie tutele ai soci investitori e presidi essenziali per garantire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simmetria, completezza e affidabilità informativa</w:t>
      </w:r>
      <w:r w:rsidR="00DA569A" w:rsidRPr="00DA569A">
        <w:rPr>
          <w:rFonts w:ascii="Arial" w:hAnsi="Arial" w:cs="Arial"/>
          <w:sz w:val="24"/>
          <w:szCs w:val="24"/>
        </w:rPr>
        <w:t>, nonché l’adeguatezza degli assetti organizzativi, amministrativi e contabili</w:t>
      </w:r>
      <w:r>
        <w:rPr>
          <w:rFonts w:ascii="Arial" w:hAnsi="Arial" w:cs="Arial"/>
          <w:sz w:val="24"/>
          <w:szCs w:val="24"/>
        </w:rPr>
        <w:t>,</w:t>
      </w:r>
      <w:r w:rsidR="00DA569A" w:rsidRPr="00DA569A">
        <w:rPr>
          <w:rFonts w:ascii="Arial" w:hAnsi="Arial" w:cs="Arial"/>
          <w:sz w:val="24"/>
          <w:szCs w:val="24"/>
        </w:rPr>
        <w:t xml:space="preserve"> come peraltro oggi impone l’art. 2086, comma secondo, c.c. di società che si “aprono” all’investimento</w:t>
      </w:r>
      <w:r>
        <w:rPr>
          <w:rFonts w:ascii="Arial" w:hAnsi="Arial" w:cs="Arial"/>
          <w:sz w:val="24"/>
          <w:szCs w:val="24"/>
        </w:rPr>
        <w:t>”</w:t>
      </w:r>
      <w:r w:rsidR="00DA569A" w:rsidRPr="00DA569A">
        <w:rPr>
          <w:rFonts w:ascii="Arial" w:hAnsi="Arial" w:cs="Arial"/>
          <w:sz w:val="24"/>
          <w:szCs w:val="24"/>
        </w:rPr>
        <w:t xml:space="preserve">. </w:t>
      </w:r>
    </w:p>
    <w:p w14:paraId="3492CF2C" w14:textId="77777777" w:rsidR="00C2303C" w:rsidRDefault="00C2303C" w:rsidP="00DA569A">
      <w:pPr>
        <w:jc w:val="both"/>
        <w:rPr>
          <w:rFonts w:ascii="Arial" w:hAnsi="Arial" w:cs="Arial"/>
          <w:sz w:val="24"/>
          <w:szCs w:val="24"/>
        </w:rPr>
      </w:pPr>
    </w:p>
    <w:p w14:paraId="0D9F3C95" w14:textId="686837B7" w:rsidR="00DA569A" w:rsidRDefault="00DA569A" w:rsidP="00DA569A">
      <w:pPr>
        <w:jc w:val="both"/>
        <w:rPr>
          <w:rFonts w:ascii="Arial" w:hAnsi="Arial" w:cs="Arial"/>
          <w:sz w:val="24"/>
          <w:szCs w:val="24"/>
        </w:rPr>
      </w:pPr>
      <w:r w:rsidRPr="00DA569A">
        <w:rPr>
          <w:rFonts w:ascii="Arial" w:hAnsi="Arial" w:cs="Arial"/>
          <w:sz w:val="24"/>
          <w:szCs w:val="24"/>
        </w:rPr>
        <w:t xml:space="preserve">Quelle del </w:t>
      </w:r>
      <w:r w:rsidR="00C2303C" w:rsidRPr="00ED7CE8">
        <w:rPr>
          <w:rFonts w:ascii="Arial" w:hAnsi="Arial" w:cs="Arial"/>
          <w:b/>
          <w:bCs/>
          <w:sz w:val="24"/>
          <w:szCs w:val="24"/>
        </w:rPr>
        <w:t>Codice civile</w:t>
      </w:r>
      <w:r w:rsidRPr="00DA569A">
        <w:rPr>
          <w:rFonts w:ascii="Arial" w:hAnsi="Arial" w:cs="Arial"/>
          <w:sz w:val="24"/>
          <w:szCs w:val="24"/>
        </w:rPr>
        <w:t xml:space="preserve">, </w:t>
      </w:r>
      <w:r w:rsidR="00C2303C">
        <w:rPr>
          <w:rFonts w:ascii="Arial" w:hAnsi="Arial" w:cs="Arial"/>
          <w:sz w:val="24"/>
          <w:szCs w:val="24"/>
        </w:rPr>
        <w:t>ha sottolineato Moro,</w:t>
      </w:r>
      <w:r w:rsidRPr="00DA569A">
        <w:rPr>
          <w:rFonts w:ascii="Arial" w:hAnsi="Arial" w:cs="Arial"/>
          <w:sz w:val="24"/>
          <w:szCs w:val="24"/>
        </w:rPr>
        <w:t xml:space="preserve"> </w:t>
      </w:r>
      <w:r w:rsidR="00C2303C">
        <w:rPr>
          <w:rFonts w:ascii="Arial" w:hAnsi="Arial" w:cs="Arial"/>
          <w:sz w:val="24"/>
          <w:szCs w:val="24"/>
        </w:rPr>
        <w:t>“</w:t>
      </w:r>
      <w:r w:rsidRPr="00DA569A">
        <w:rPr>
          <w:rFonts w:ascii="Arial" w:hAnsi="Arial" w:cs="Arial"/>
          <w:sz w:val="24"/>
          <w:szCs w:val="24"/>
        </w:rPr>
        <w:t xml:space="preserve">sono previsioni destinate a </w:t>
      </w:r>
      <w:r w:rsidRPr="00ED7CE8">
        <w:rPr>
          <w:rFonts w:ascii="Arial" w:hAnsi="Arial" w:cs="Arial"/>
          <w:b/>
          <w:bCs/>
          <w:sz w:val="24"/>
          <w:szCs w:val="24"/>
        </w:rPr>
        <w:t>società chiuse</w:t>
      </w:r>
      <w:r w:rsidRPr="00DA569A">
        <w:rPr>
          <w:rFonts w:ascii="Arial" w:hAnsi="Arial" w:cs="Arial"/>
          <w:sz w:val="24"/>
          <w:szCs w:val="24"/>
        </w:rPr>
        <w:t>, caratterizzate dalla centralità della persona del socio, e non della “</w:t>
      </w:r>
      <w:r w:rsidRPr="00ED7CE8">
        <w:rPr>
          <w:rFonts w:ascii="Arial" w:hAnsi="Arial" w:cs="Arial"/>
          <w:b/>
          <w:bCs/>
          <w:sz w:val="24"/>
          <w:szCs w:val="24"/>
        </w:rPr>
        <w:t>partecipazione</w:t>
      </w:r>
      <w:r w:rsidRPr="00DA569A">
        <w:rPr>
          <w:rFonts w:ascii="Arial" w:hAnsi="Arial" w:cs="Arial"/>
          <w:sz w:val="24"/>
          <w:szCs w:val="24"/>
        </w:rPr>
        <w:t xml:space="preserve">”. Di qui una serie di riflessioni sulla necessità di addivenire a un sistema di </w:t>
      </w:r>
      <w:r w:rsidRPr="00ED7CE8">
        <w:rPr>
          <w:rFonts w:ascii="Arial" w:hAnsi="Arial" w:cs="Arial"/>
          <w:b/>
          <w:bCs/>
          <w:sz w:val="24"/>
          <w:szCs w:val="24"/>
        </w:rPr>
        <w:t>controllo interno</w:t>
      </w:r>
      <w:r w:rsidRPr="00DA569A">
        <w:rPr>
          <w:rFonts w:ascii="Arial" w:hAnsi="Arial" w:cs="Arial"/>
          <w:sz w:val="24"/>
          <w:szCs w:val="24"/>
        </w:rPr>
        <w:t xml:space="preserve"> che possa soddisfare le esigenze di cambiamento ravvisate per l’offerta al pubblico delle partecipazioni della</w:t>
      </w:r>
      <w:r w:rsidR="00ED7CE8">
        <w:rPr>
          <w:rFonts w:ascii="Arial" w:hAnsi="Arial" w:cs="Arial"/>
          <w:sz w:val="24"/>
          <w:szCs w:val="24"/>
        </w:rPr>
        <w:t xml:space="preserve"> SRL </w:t>
      </w:r>
      <w:r w:rsidRPr="00DA569A">
        <w:rPr>
          <w:rFonts w:ascii="Arial" w:hAnsi="Arial" w:cs="Arial"/>
          <w:sz w:val="24"/>
          <w:szCs w:val="24"/>
        </w:rPr>
        <w:t xml:space="preserve">PMI tramite crowdfunding, prendendo tuttavia </w:t>
      </w:r>
      <w:r w:rsidRPr="00ED7CE8">
        <w:rPr>
          <w:rFonts w:ascii="Arial" w:hAnsi="Arial" w:cs="Arial"/>
          <w:b/>
          <w:bCs/>
          <w:sz w:val="24"/>
          <w:szCs w:val="24"/>
        </w:rPr>
        <w:t>le dovute distanze</w:t>
      </w:r>
      <w:r w:rsidRPr="00DA569A">
        <w:rPr>
          <w:rFonts w:ascii="Arial" w:hAnsi="Arial" w:cs="Arial"/>
          <w:sz w:val="24"/>
          <w:szCs w:val="24"/>
        </w:rPr>
        <w:t xml:space="preserve"> dal modello ideato nell’art. 2477 c.c. destinato a compagini societarie chiuse</w:t>
      </w:r>
      <w:r w:rsidR="00835DFC">
        <w:rPr>
          <w:rFonts w:ascii="Arial" w:hAnsi="Arial" w:cs="Arial"/>
          <w:sz w:val="24"/>
          <w:szCs w:val="24"/>
        </w:rPr>
        <w:t xml:space="preserve"> e facendo leva, invece, sulla presenza stabile di un </w:t>
      </w:r>
      <w:r w:rsidR="00835DFC" w:rsidRPr="00835DFC">
        <w:rPr>
          <w:rFonts w:ascii="Arial" w:hAnsi="Arial" w:cs="Arial"/>
          <w:b/>
          <w:bCs/>
          <w:sz w:val="24"/>
          <w:szCs w:val="24"/>
        </w:rPr>
        <w:t>organo di controllo societario</w:t>
      </w:r>
      <w:r w:rsidR="00C2303C">
        <w:rPr>
          <w:rFonts w:ascii="Arial" w:hAnsi="Arial" w:cs="Arial"/>
          <w:sz w:val="24"/>
          <w:szCs w:val="24"/>
        </w:rPr>
        <w:t>”</w:t>
      </w:r>
      <w:r w:rsidRPr="00DA569A">
        <w:rPr>
          <w:rFonts w:ascii="Arial" w:hAnsi="Arial" w:cs="Arial"/>
          <w:sz w:val="24"/>
          <w:szCs w:val="24"/>
        </w:rPr>
        <w:t>.</w:t>
      </w:r>
    </w:p>
    <w:p w14:paraId="325B538C" w14:textId="77777777" w:rsidR="00C2303C" w:rsidRPr="00DA569A" w:rsidRDefault="00C2303C" w:rsidP="00DA569A">
      <w:pPr>
        <w:jc w:val="both"/>
        <w:rPr>
          <w:rFonts w:ascii="Arial" w:hAnsi="Arial" w:cs="Arial"/>
          <w:sz w:val="24"/>
          <w:szCs w:val="24"/>
        </w:rPr>
      </w:pPr>
    </w:p>
    <w:p w14:paraId="30E3EAD5" w14:textId="5A28D20C" w:rsidR="00DA569A" w:rsidRPr="00DA569A" w:rsidRDefault="00DA569A" w:rsidP="00DA569A">
      <w:pPr>
        <w:jc w:val="both"/>
        <w:rPr>
          <w:rFonts w:ascii="Arial" w:hAnsi="Arial" w:cs="Arial"/>
          <w:sz w:val="24"/>
          <w:szCs w:val="24"/>
        </w:rPr>
      </w:pPr>
      <w:r w:rsidRPr="00ED7CE8">
        <w:rPr>
          <w:rFonts w:ascii="Arial" w:hAnsi="Arial" w:cs="Arial"/>
          <w:b/>
          <w:bCs/>
          <w:sz w:val="24"/>
          <w:szCs w:val="24"/>
        </w:rPr>
        <w:t>Da rivedere</w:t>
      </w:r>
      <w:r w:rsidRPr="00DA569A">
        <w:rPr>
          <w:rFonts w:ascii="Arial" w:hAnsi="Arial" w:cs="Arial"/>
          <w:sz w:val="24"/>
          <w:szCs w:val="24"/>
        </w:rPr>
        <w:t xml:space="preserve">, secondo </w:t>
      </w:r>
      <w:r w:rsidR="00C2303C">
        <w:rPr>
          <w:rFonts w:ascii="Arial" w:hAnsi="Arial" w:cs="Arial"/>
          <w:sz w:val="24"/>
          <w:szCs w:val="24"/>
        </w:rPr>
        <w:t xml:space="preserve">i commercialisti, </w:t>
      </w:r>
      <w:r w:rsidRPr="00DA569A">
        <w:rPr>
          <w:rFonts w:ascii="Arial" w:hAnsi="Arial" w:cs="Arial"/>
          <w:sz w:val="24"/>
          <w:szCs w:val="24"/>
        </w:rPr>
        <w:t xml:space="preserve"> </w:t>
      </w:r>
      <w:r w:rsidR="00C2303C">
        <w:rPr>
          <w:rFonts w:ascii="Arial" w:hAnsi="Arial" w:cs="Arial"/>
          <w:sz w:val="24"/>
          <w:szCs w:val="24"/>
        </w:rPr>
        <w:t>“</w:t>
      </w:r>
      <w:r w:rsidRPr="00DA569A">
        <w:rPr>
          <w:rFonts w:ascii="Arial" w:hAnsi="Arial" w:cs="Arial"/>
          <w:sz w:val="24"/>
          <w:szCs w:val="24"/>
        </w:rPr>
        <w:t xml:space="preserve">le prospettate ipotesi di </w:t>
      </w:r>
      <w:r w:rsidRPr="00ED7CE8">
        <w:rPr>
          <w:rFonts w:ascii="Arial" w:hAnsi="Arial" w:cs="Arial"/>
          <w:b/>
          <w:bCs/>
          <w:sz w:val="24"/>
          <w:szCs w:val="24"/>
        </w:rPr>
        <w:t>modifica delle disposizioni</w:t>
      </w:r>
      <w:r w:rsidRPr="00DA569A">
        <w:rPr>
          <w:rFonts w:ascii="Arial" w:hAnsi="Arial" w:cs="Arial"/>
          <w:sz w:val="24"/>
          <w:szCs w:val="24"/>
        </w:rPr>
        <w:t xml:space="preserve"> che </w:t>
      </w:r>
      <w:r w:rsidRPr="00ED7CE8">
        <w:rPr>
          <w:rFonts w:ascii="Arial" w:hAnsi="Arial" w:cs="Arial"/>
          <w:b/>
          <w:bCs/>
          <w:sz w:val="24"/>
          <w:szCs w:val="24"/>
        </w:rPr>
        <w:t>limitano le tutele della minoranze</w:t>
      </w:r>
      <w:r w:rsidRPr="00DA569A">
        <w:rPr>
          <w:rFonts w:ascii="Arial" w:hAnsi="Arial" w:cs="Arial"/>
          <w:sz w:val="24"/>
          <w:szCs w:val="24"/>
        </w:rPr>
        <w:t xml:space="preserve">, tradendone l’affidamento, e le nuove previsioni in punto di riforma della disciplina delle società emittenti strumenti finanziari, in quanto, per come ipotizzata nel DDL in esame, la nozione di </w:t>
      </w:r>
      <w:r w:rsidRPr="00ED7CE8">
        <w:rPr>
          <w:rFonts w:ascii="Arial" w:hAnsi="Arial" w:cs="Arial"/>
          <w:b/>
          <w:bCs/>
          <w:sz w:val="24"/>
          <w:szCs w:val="24"/>
        </w:rPr>
        <w:t>“società diffusa”</w:t>
      </w:r>
      <w:r w:rsidRPr="00DA569A">
        <w:rPr>
          <w:rFonts w:ascii="Arial" w:hAnsi="Arial" w:cs="Arial"/>
          <w:sz w:val="24"/>
          <w:szCs w:val="24"/>
        </w:rPr>
        <w:t xml:space="preserve"> finisce con abbracciare ipotesi fra loro diversissime, non in grado di identificare un fenomeno qualitativamente intermedio tra società quotate e società chiuse</w:t>
      </w:r>
      <w:r w:rsidR="00C2303C">
        <w:rPr>
          <w:rFonts w:ascii="Arial" w:hAnsi="Arial" w:cs="Arial"/>
          <w:sz w:val="24"/>
          <w:szCs w:val="24"/>
        </w:rPr>
        <w:t>”</w:t>
      </w:r>
      <w:r w:rsidRPr="00DA569A">
        <w:rPr>
          <w:rFonts w:ascii="Arial" w:hAnsi="Arial" w:cs="Arial"/>
          <w:sz w:val="24"/>
          <w:szCs w:val="24"/>
        </w:rPr>
        <w:t>.</w:t>
      </w:r>
    </w:p>
    <w:p w14:paraId="32B4CAE4" w14:textId="77777777" w:rsidR="00DA569A" w:rsidRPr="00B55E36" w:rsidRDefault="00DA569A" w:rsidP="00DA569A">
      <w:pPr>
        <w:rPr>
          <w:sz w:val="24"/>
          <w:szCs w:val="24"/>
        </w:rPr>
      </w:pPr>
    </w:p>
    <w:p w14:paraId="1A2DA4E8" w14:textId="35260C49" w:rsidR="00DA569A" w:rsidRPr="00B55E36" w:rsidRDefault="00C2303C" w:rsidP="00C2303C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Moro ha infine sottolineato “</w:t>
      </w:r>
      <w:r w:rsidR="00DA569A" w:rsidRPr="00DA569A">
        <w:rPr>
          <w:rFonts w:ascii="Arial" w:hAnsi="Arial" w:cs="Arial"/>
          <w:sz w:val="24"/>
          <w:szCs w:val="24"/>
        </w:rPr>
        <w:t xml:space="preserve">l’importante ruolo che il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professionista iscritto all’albo</w:t>
      </w:r>
      <w:r w:rsidR="00DA569A" w:rsidRPr="00DA569A">
        <w:rPr>
          <w:rFonts w:ascii="Arial" w:hAnsi="Arial" w:cs="Arial"/>
          <w:sz w:val="24"/>
          <w:szCs w:val="24"/>
        </w:rPr>
        <w:t xml:space="preserve"> può svolgere nell’ambito della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corporate finan</w:t>
      </w:r>
      <w:r w:rsidR="00ED7CE8">
        <w:rPr>
          <w:rFonts w:ascii="Arial" w:hAnsi="Arial" w:cs="Arial"/>
          <w:b/>
          <w:bCs/>
          <w:sz w:val="24"/>
          <w:szCs w:val="24"/>
        </w:rPr>
        <w:t>c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e</w:t>
      </w:r>
      <w:r w:rsidR="00DA569A" w:rsidRPr="00DA569A">
        <w:rPr>
          <w:rFonts w:ascii="Arial" w:hAnsi="Arial" w:cs="Arial"/>
          <w:sz w:val="24"/>
          <w:szCs w:val="24"/>
        </w:rPr>
        <w:t xml:space="preserve"> su tali tematiche in quanto professionista in possesso di specifiche competenze tecniche riconosciute alla legge professionale, anche nell’ambito dei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progetti educativi</w:t>
      </w:r>
      <w:r w:rsidR="00DA569A" w:rsidRPr="00DA569A">
        <w:rPr>
          <w:rFonts w:ascii="Arial" w:hAnsi="Arial" w:cs="Arial"/>
          <w:sz w:val="24"/>
          <w:szCs w:val="24"/>
        </w:rPr>
        <w:t xml:space="preserve"> che si intendono avviare per </w:t>
      </w:r>
      <w:r w:rsidR="00DA569A" w:rsidRPr="00ED7CE8">
        <w:rPr>
          <w:rFonts w:ascii="Arial" w:hAnsi="Arial" w:cs="Arial"/>
          <w:b/>
          <w:bCs/>
          <w:sz w:val="24"/>
          <w:szCs w:val="24"/>
        </w:rPr>
        <w:t>sensibilizzare i consumatori</w:t>
      </w:r>
      <w:r>
        <w:rPr>
          <w:rFonts w:ascii="Arial" w:hAnsi="Arial" w:cs="Arial"/>
          <w:sz w:val="24"/>
          <w:szCs w:val="24"/>
        </w:rPr>
        <w:t xml:space="preserve">”. </w:t>
      </w:r>
    </w:p>
    <w:p w14:paraId="3074CF4F" w14:textId="77777777" w:rsidR="005F6B93" w:rsidRPr="00102840" w:rsidRDefault="005F6B93" w:rsidP="00DA569A">
      <w:pPr>
        <w:jc w:val="center"/>
        <w:rPr>
          <w:rFonts w:ascii="Arial" w:eastAsia="Arial" w:hAnsi="Arial" w:cs="Arial"/>
          <w:sz w:val="24"/>
          <w:szCs w:val="24"/>
        </w:rPr>
      </w:pPr>
    </w:p>
    <w:sectPr w:rsidR="005F6B93" w:rsidRPr="00102840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CEA2" w14:textId="77777777" w:rsidR="00562B50" w:rsidRDefault="00562B50">
      <w:r>
        <w:separator/>
      </w:r>
    </w:p>
  </w:endnote>
  <w:endnote w:type="continuationSeparator" w:id="0">
    <w:p w14:paraId="1427BD46" w14:textId="77777777" w:rsidR="00562B50" w:rsidRDefault="0056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8B5F" w14:textId="77777777" w:rsidR="00562B50" w:rsidRDefault="00562B50">
      <w:r>
        <w:separator/>
      </w:r>
    </w:p>
  </w:footnote>
  <w:footnote w:type="continuationSeparator" w:id="0">
    <w:p w14:paraId="7D021E7F" w14:textId="77777777" w:rsidR="00562B50" w:rsidRDefault="0056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6120C"/>
    <w:rsid w:val="00090992"/>
    <w:rsid w:val="000B5619"/>
    <w:rsid w:val="000F1AA7"/>
    <w:rsid w:val="00102840"/>
    <w:rsid w:val="00103156"/>
    <w:rsid w:val="001657E9"/>
    <w:rsid w:val="001B1920"/>
    <w:rsid w:val="002A2879"/>
    <w:rsid w:val="002B4469"/>
    <w:rsid w:val="002C49C0"/>
    <w:rsid w:val="00326249"/>
    <w:rsid w:val="004C16AB"/>
    <w:rsid w:val="00554081"/>
    <w:rsid w:val="00562B50"/>
    <w:rsid w:val="005737D5"/>
    <w:rsid w:val="00580C6D"/>
    <w:rsid w:val="005F6B93"/>
    <w:rsid w:val="005F788F"/>
    <w:rsid w:val="00604E37"/>
    <w:rsid w:val="00636734"/>
    <w:rsid w:val="0068637E"/>
    <w:rsid w:val="006D73FC"/>
    <w:rsid w:val="00786893"/>
    <w:rsid w:val="007C29BB"/>
    <w:rsid w:val="007D361E"/>
    <w:rsid w:val="00801E5C"/>
    <w:rsid w:val="00827BB9"/>
    <w:rsid w:val="00835DFC"/>
    <w:rsid w:val="00846CAC"/>
    <w:rsid w:val="008D050B"/>
    <w:rsid w:val="008E7494"/>
    <w:rsid w:val="008F3A07"/>
    <w:rsid w:val="00A90FDA"/>
    <w:rsid w:val="00B406A9"/>
    <w:rsid w:val="00BD401F"/>
    <w:rsid w:val="00C14B5A"/>
    <w:rsid w:val="00C2303C"/>
    <w:rsid w:val="00C87946"/>
    <w:rsid w:val="00DA569A"/>
    <w:rsid w:val="00EC3325"/>
    <w:rsid w:val="00EC36D9"/>
    <w:rsid w:val="00ED7CE8"/>
    <w:rsid w:val="00F15857"/>
    <w:rsid w:val="00F66F72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Mastrogiacomo Tiziana</cp:lastModifiedBy>
  <cp:revision>5</cp:revision>
  <dcterms:created xsi:type="dcterms:W3CDTF">2023-06-07T10:59:00Z</dcterms:created>
  <dcterms:modified xsi:type="dcterms:W3CDTF">2023-06-13T13:22:00Z</dcterms:modified>
</cp:coreProperties>
</file>