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FF47" w14:textId="77777777" w:rsidR="00BE7F0C" w:rsidRDefault="00BE7F0C" w:rsidP="002C16BA">
      <w:pPr>
        <w:pStyle w:val="Normale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FB3A275" w14:textId="6D49B718" w:rsidR="002C16BA" w:rsidRDefault="002C16BA" w:rsidP="002C16BA">
      <w:pPr>
        <w:pStyle w:val="NormaleWeb"/>
        <w:spacing w:line="276" w:lineRule="auto"/>
        <w:jc w:val="center"/>
      </w:pPr>
      <w:r>
        <w:rPr>
          <w:rFonts w:ascii="Arial" w:hAnsi="Arial" w:cs="Arial"/>
          <w:b/>
          <w:bCs/>
          <w:color w:val="000000"/>
        </w:rPr>
        <w:t>C</w:t>
      </w:r>
      <w:r w:rsidR="00592B89">
        <w:rPr>
          <w:rFonts w:ascii="Arial" w:hAnsi="Arial" w:cs="Arial"/>
          <w:b/>
          <w:bCs/>
          <w:color w:val="000000"/>
        </w:rPr>
        <w:t>omunicato stampa</w:t>
      </w:r>
    </w:p>
    <w:p w14:paraId="296C63C2" w14:textId="77777777" w:rsidR="002C16BA" w:rsidRDefault="002C16BA" w:rsidP="002C16BA">
      <w:pPr>
        <w:pStyle w:val="NormaleWeb"/>
        <w:spacing w:line="276" w:lineRule="auto"/>
        <w:jc w:val="center"/>
      </w:pPr>
      <w:r>
        <w:rPr>
          <w:rFonts w:ascii="Arial" w:hAnsi="Arial" w:cs="Arial"/>
          <w:b/>
          <w:bCs/>
          <w:color w:val="000000"/>
        </w:rPr>
        <w:t> </w:t>
      </w:r>
    </w:p>
    <w:p w14:paraId="3E3BC9B1" w14:textId="77777777" w:rsidR="002C16BA" w:rsidRDefault="002C16BA" w:rsidP="002C16BA">
      <w:pPr>
        <w:pStyle w:val="NormaleWeb"/>
        <w:jc w:val="center"/>
      </w:pPr>
      <w:r>
        <w:rPr>
          <w:rFonts w:ascii="Arial" w:hAnsi="Arial" w:cs="Arial"/>
          <w:b/>
          <w:bCs/>
          <w:color w:val="000000"/>
        </w:rPr>
        <w:t>SOVRAINDEBITAMENTO, DAI COMMERCIALISTI 31 PROPOSTE PER RILANCIARE L’ISTITUTO</w:t>
      </w:r>
    </w:p>
    <w:p w14:paraId="16B55854" w14:textId="77777777" w:rsidR="002C16BA" w:rsidRDefault="002C16BA" w:rsidP="002C16BA">
      <w:pPr>
        <w:pStyle w:val="NormaleWeb"/>
        <w:jc w:val="center"/>
      </w:pPr>
      <w:r>
        <w:rPr>
          <w:rFonts w:ascii="Arial" w:hAnsi="Arial" w:cs="Arial"/>
          <w:b/>
          <w:bCs/>
          <w:color w:val="000000"/>
        </w:rPr>
        <w:t> </w:t>
      </w:r>
    </w:p>
    <w:p w14:paraId="460A5DDD" w14:textId="77777777" w:rsidR="002C16BA" w:rsidRDefault="002C16BA" w:rsidP="002C16BA">
      <w:pPr>
        <w:pStyle w:val="NormaleWeb"/>
        <w:jc w:val="center"/>
      </w:pPr>
      <w:r>
        <w:rPr>
          <w:rFonts w:ascii="Arial" w:hAnsi="Arial" w:cs="Arial"/>
          <w:b/>
          <w:bCs/>
          <w:color w:val="000000"/>
        </w:rPr>
        <w:t>Presentate nel nuovo numero della rivista “Il Professionista”, puntano a superare le incertezze interpretative nate con il nuovo Codice della crisi</w:t>
      </w:r>
    </w:p>
    <w:p w14:paraId="16BFCED7" w14:textId="77777777" w:rsidR="002C16BA" w:rsidRDefault="002C16BA" w:rsidP="002C16BA">
      <w:pPr>
        <w:pStyle w:val="elementtoproof"/>
        <w:jc w:val="both"/>
      </w:pPr>
      <w:r>
        <w:rPr>
          <w:rFonts w:ascii="Arial" w:hAnsi="Arial" w:cs="Arial"/>
          <w:color w:val="000000"/>
        </w:rPr>
        <w:t> </w:t>
      </w:r>
    </w:p>
    <w:p w14:paraId="576EC2A1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 </w:t>
      </w:r>
    </w:p>
    <w:p w14:paraId="4F2D80FD" w14:textId="6C7DBA27" w:rsidR="002C16BA" w:rsidRDefault="002C16BA" w:rsidP="002C16BA">
      <w:pPr>
        <w:pStyle w:val="NormaleWeb"/>
        <w:jc w:val="both"/>
      </w:pPr>
      <w:r>
        <w:rPr>
          <w:rFonts w:ascii="Arial" w:hAnsi="Arial" w:cs="Arial"/>
          <w:i/>
          <w:iCs/>
          <w:color w:val="000000"/>
        </w:rPr>
        <w:t xml:space="preserve">Roma, 7 febbraio 2024 </w:t>
      </w:r>
      <w:r w:rsidR="00592B89">
        <w:rPr>
          <w:rFonts w:ascii="Arial" w:hAnsi="Arial" w:cs="Arial"/>
          <w:i/>
          <w:iCs/>
          <w:color w:val="000000"/>
        </w:rPr>
        <w:t>–</w:t>
      </w:r>
      <w:r>
        <w:rPr>
          <w:rFonts w:ascii="Arial" w:hAnsi="Arial" w:cs="Arial"/>
          <w:color w:val="000000"/>
        </w:rPr>
        <w:t> Trentuno proposte per rilanciare l’istituto del sovraindebitamento. Le avanzano i commercialisti nel nuovo numero de “</w:t>
      </w:r>
      <w:r>
        <w:rPr>
          <w:rFonts w:ascii="Arial" w:hAnsi="Arial" w:cs="Arial"/>
          <w:b/>
          <w:bCs/>
          <w:color w:val="000000"/>
        </w:rPr>
        <w:t>Il Professionista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imprese e codice della crisi</w:t>
      </w:r>
      <w:r>
        <w:rPr>
          <w:rFonts w:ascii="Arial" w:hAnsi="Arial" w:cs="Arial"/>
          <w:color w:val="000000"/>
        </w:rPr>
        <w:t xml:space="preserve">”, la rivista di aggiornamento realizzata in collaborazione con Il Sole 24 Ore dalla Fondazione ADR, guidata da </w:t>
      </w:r>
      <w:r>
        <w:rPr>
          <w:rFonts w:ascii="Arial" w:hAnsi="Arial" w:cs="Arial"/>
          <w:b/>
          <w:bCs/>
          <w:color w:val="000000"/>
        </w:rPr>
        <w:t>Antonino Trommino</w:t>
      </w:r>
      <w:r>
        <w:rPr>
          <w:rFonts w:ascii="Arial" w:hAnsi="Arial" w:cs="Arial"/>
          <w:color w:val="000000"/>
        </w:rPr>
        <w:t xml:space="preserve">, e dal Consiglio nazionale della categoria, che ha come Consigliere delegato alle Funzioni giudiziarie e ADR il segretario </w:t>
      </w:r>
      <w:r>
        <w:rPr>
          <w:rFonts w:ascii="Arial" w:hAnsi="Arial" w:cs="Arial"/>
          <w:b/>
          <w:bCs/>
          <w:color w:val="000000"/>
        </w:rPr>
        <w:t>Giovanna Greco</w:t>
      </w:r>
      <w:r>
        <w:rPr>
          <w:rFonts w:ascii="Arial" w:hAnsi="Arial" w:cs="Arial"/>
          <w:color w:val="000000"/>
        </w:rPr>
        <w:t>.</w:t>
      </w:r>
    </w:p>
    <w:p w14:paraId="1FBA5655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 </w:t>
      </w:r>
    </w:p>
    <w:p w14:paraId="4A8ECE59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 xml:space="preserve">Secondo i commercialisti “il Codice della Crisi introdotto, da ultimo, con le modifiche apportate dal D.L. 83/2022, non ha visto </w:t>
      </w:r>
      <w:r>
        <w:rPr>
          <w:rFonts w:ascii="Arial" w:hAnsi="Arial" w:cs="Arial"/>
          <w:b/>
          <w:bCs/>
          <w:color w:val="000000"/>
        </w:rPr>
        <w:t>interventi incisivi</w:t>
      </w:r>
      <w:r>
        <w:rPr>
          <w:rFonts w:ascii="Arial" w:hAnsi="Arial" w:cs="Arial"/>
          <w:color w:val="000000"/>
        </w:rPr>
        <w:t xml:space="preserve"> sul sovraindebitamento sia a causa della minor importanza assegnata alle </w:t>
      </w:r>
      <w:r>
        <w:rPr>
          <w:rFonts w:ascii="Arial" w:hAnsi="Arial" w:cs="Arial"/>
          <w:b/>
          <w:bCs/>
          <w:color w:val="000000"/>
        </w:rPr>
        <w:t>procedure ‘minori’</w:t>
      </w:r>
      <w:r>
        <w:rPr>
          <w:rFonts w:ascii="Arial" w:hAnsi="Arial" w:cs="Arial"/>
          <w:color w:val="000000"/>
        </w:rPr>
        <w:t xml:space="preserve"> sia perché, forse, la materia risulta poco istintiva persino per i magistrati dell’ufficio legislativo. È evidente la </w:t>
      </w:r>
      <w:r>
        <w:rPr>
          <w:rFonts w:ascii="Arial" w:hAnsi="Arial" w:cs="Arial"/>
          <w:b/>
          <w:bCs/>
          <w:color w:val="000000"/>
        </w:rPr>
        <w:t>scelta frettolosa</w:t>
      </w:r>
      <w:r>
        <w:rPr>
          <w:rFonts w:ascii="Arial" w:hAnsi="Arial" w:cs="Arial"/>
          <w:color w:val="000000"/>
        </w:rPr>
        <w:t xml:space="preserve"> del legislatore di limitarsi ad un </w:t>
      </w:r>
      <w:r>
        <w:rPr>
          <w:rFonts w:ascii="Arial" w:hAnsi="Arial" w:cs="Arial"/>
          <w:b/>
          <w:bCs/>
          <w:color w:val="000000"/>
        </w:rPr>
        <w:t>innesto</w:t>
      </w:r>
      <w:r>
        <w:rPr>
          <w:rFonts w:ascii="Arial" w:hAnsi="Arial" w:cs="Arial"/>
          <w:color w:val="000000"/>
        </w:rPr>
        <w:t xml:space="preserve"> degli istituti della legge 3/2012, peraltro riformati con la legge 176/2020, nella nuova architettura codicistica, senza una particolare attenzione alle </w:t>
      </w:r>
      <w:r>
        <w:rPr>
          <w:rFonts w:ascii="Arial" w:hAnsi="Arial" w:cs="Arial"/>
          <w:b/>
          <w:bCs/>
          <w:color w:val="000000"/>
        </w:rPr>
        <w:t>peculiarità</w:t>
      </w:r>
      <w:r>
        <w:rPr>
          <w:rFonts w:ascii="Arial" w:hAnsi="Arial" w:cs="Arial"/>
          <w:color w:val="000000"/>
        </w:rPr>
        <w:t xml:space="preserve"> proprie di tali strumenti regolatori, rivolti ad una particolare </w:t>
      </w:r>
      <w:r>
        <w:rPr>
          <w:rFonts w:ascii="Arial" w:hAnsi="Arial" w:cs="Arial"/>
          <w:b/>
          <w:bCs/>
          <w:color w:val="000000"/>
        </w:rPr>
        <w:t>categoria di debitori</w:t>
      </w:r>
      <w:r>
        <w:rPr>
          <w:rFonts w:ascii="Arial" w:hAnsi="Arial" w:cs="Arial"/>
          <w:color w:val="000000"/>
        </w:rPr>
        <w:t>”.</w:t>
      </w:r>
    </w:p>
    <w:p w14:paraId="638F1382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 </w:t>
      </w:r>
    </w:p>
    <w:p w14:paraId="02EC40A4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 xml:space="preserve">“Il </w:t>
      </w:r>
      <w:r>
        <w:rPr>
          <w:rFonts w:ascii="Arial" w:hAnsi="Arial" w:cs="Arial"/>
          <w:b/>
          <w:bCs/>
          <w:color w:val="000000"/>
        </w:rPr>
        <w:t>variegato approccio interpretativo</w:t>
      </w:r>
      <w:r>
        <w:rPr>
          <w:rFonts w:ascii="Arial" w:hAnsi="Arial" w:cs="Arial"/>
          <w:color w:val="000000"/>
        </w:rPr>
        <w:t xml:space="preserve"> emerso in sede giurisprudenziale ha generato una “</w:t>
      </w:r>
      <w:r>
        <w:rPr>
          <w:rFonts w:ascii="Arial" w:hAnsi="Arial" w:cs="Arial"/>
          <w:b/>
          <w:bCs/>
          <w:color w:val="000000"/>
        </w:rPr>
        <w:t>confusione</w:t>
      </w:r>
      <w:r>
        <w:rPr>
          <w:rFonts w:ascii="Arial" w:hAnsi="Arial" w:cs="Arial"/>
          <w:color w:val="000000"/>
        </w:rPr>
        <w:t xml:space="preserve"> – è spiegato nell’introduzione del nuovo numero della rivista – che necessita di una </w:t>
      </w:r>
      <w:r>
        <w:rPr>
          <w:rFonts w:ascii="Arial" w:hAnsi="Arial" w:cs="Arial"/>
          <w:b/>
          <w:bCs/>
          <w:color w:val="000000"/>
        </w:rPr>
        <w:t>rapida risposta</w:t>
      </w:r>
      <w:r>
        <w:rPr>
          <w:rFonts w:ascii="Arial" w:hAnsi="Arial" w:cs="Arial"/>
          <w:color w:val="000000"/>
        </w:rPr>
        <w:t xml:space="preserve"> organica, se si vuole evitare una ulteriore fonte di </w:t>
      </w:r>
      <w:r>
        <w:rPr>
          <w:rFonts w:ascii="Arial" w:hAnsi="Arial" w:cs="Arial"/>
          <w:b/>
          <w:bCs/>
          <w:color w:val="000000"/>
        </w:rPr>
        <w:t>disgregazione sociale</w:t>
      </w:r>
      <w:r>
        <w:rPr>
          <w:rFonts w:ascii="Arial" w:hAnsi="Arial" w:cs="Arial"/>
          <w:color w:val="000000"/>
        </w:rPr>
        <w:t xml:space="preserve">, perché l’ampio novero di soggetti a cui si rivolge la normativa - debitori che intendono accedere alla giurisdizione versando, spesso, le ultime risorse disponibili - ha bisogno di tutto tranne che dell’incertezza applicativa dei tribunali, acuita dall’intuibile </w:t>
      </w:r>
      <w:r>
        <w:rPr>
          <w:rFonts w:ascii="Arial" w:hAnsi="Arial" w:cs="Arial"/>
          <w:b/>
          <w:bCs/>
          <w:color w:val="000000"/>
        </w:rPr>
        <w:t>tradizionalismo</w:t>
      </w:r>
      <w:r>
        <w:rPr>
          <w:rFonts w:ascii="Arial" w:hAnsi="Arial" w:cs="Arial"/>
          <w:color w:val="000000"/>
        </w:rPr>
        <w:t xml:space="preserve"> degli operatori del diritto, spesso non formati per comprendere una normativa che disciplina ampie deroghe a principi fondanti l’ordinamento, quali l’</w:t>
      </w:r>
      <w:r>
        <w:rPr>
          <w:rFonts w:ascii="Arial" w:hAnsi="Arial" w:cs="Arial"/>
          <w:b/>
          <w:bCs/>
          <w:color w:val="000000"/>
        </w:rPr>
        <w:t>affidamento</w:t>
      </w:r>
      <w:r>
        <w:rPr>
          <w:rFonts w:ascii="Arial" w:hAnsi="Arial" w:cs="Arial"/>
          <w:color w:val="000000"/>
        </w:rPr>
        <w:t xml:space="preserve">, la </w:t>
      </w:r>
      <w:r>
        <w:rPr>
          <w:rFonts w:ascii="Arial" w:hAnsi="Arial" w:cs="Arial"/>
          <w:b/>
          <w:bCs/>
          <w:color w:val="000000"/>
        </w:rPr>
        <w:t>tutela del credito</w:t>
      </w:r>
      <w:r>
        <w:rPr>
          <w:rFonts w:ascii="Arial" w:hAnsi="Arial" w:cs="Arial"/>
          <w:color w:val="000000"/>
        </w:rPr>
        <w:t xml:space="preserve"> e la </w:t>
      </w:r>
      <w:r>
        <w:rPr>
          <w:rFonts w:ascii="Arial" w:hAnsi="Arial" w:cs="Arial"/>
          <w:b/>
          <w:bCs/>
          <w:color w:val="000000"/>
        </w:rPr>
        <w:t>garanzia patrimoniale generica</w:t>
      </w:r>
      <w:r>
        <w:rPr>
          <w:rFonts w:ascii="Arial" w:hAnsi="Arial" w:cs="Arial"/>
          <w:color w:val="000000"/>
        </w:rPr>
        <w:t>”.</w:t>
      </w:r>
    </w:p>
    <w:p w14:paraId="3C7881F6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 </w:t>
      </w:r>
    </w:p>
    <w:p w14:paraId="761E7E8D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Le trentuno proposte sul sovraindebitamento si ispirano a “</w:t>
      </w:r>
      <w:r>
        <w:rPr>
          <w:rFonts w:ascii="Arial" w:hAnsi="Arial" w:cs="Arial"/>
          <w:b/>
          <w:bCs/>
          <w:color w:val="000000"/>
        </w:rPr>
        <w:t>semplici regole</w:t>
      </w:r>
      <w:r>
        <w:rPr>
          <w:rFonts w:ascii="Arial" w:hAnsi="Arial" w:cs="Arial"/>
          <w:color w:val="000000"/>
        </w:rPr>
        <w:t xml:space="preserve"> in grado di smussare le maggiori </w:t>
      </w:r>
      <w:r>
        <w:rPr>
          <w:rFonts w:ascii="Arial" w:hAnsi="Arial" w:cs="Arial"/>
          <w:b/>
          <w:bCs/>
          <w:color w:val="000000"/>
        </w:rPr>
        <w:t>oscillazioni ermeneutiche</w:t>
      </w:r>
      <w:r>
        <w:rPr>
          <w:rFonts w:ascii="Arial" w:hAnsi="Arial" w:cs="Arial"/>
          <w:color w:val="000000"/>
        </w:rPr>
        <w:t xml:space="preserve"> a cui abbiamo assistito negli ultimi mesi, che possono frustrare l’applicazione dell’intera normativa”. L’obiettivo è quello di “stimolare il legislatore dell’ennesimo Correttivo a </w:t>
      </w:r>
      <w:r>
        <w:rPr>
          <w:rFonts w:ascii="Arial" w:hAnsi="Arial" w:cs="Arial"/>
          <w:b/>
          <w:bCs/>
          <w:color w:val="000000"/>
        </w:rPr>
        <w:t>recepire le osservazioni</w:t>
      </w:r>
      <w:r>
        <w:rPr>
          <w:rFonts w:ascii="Arial" w:hAnsi="Arial" w:cs="Arial"/>
          <w:color w:val="000000"/>
        </w:rPr>
        <w:t xml:space="preserve"> di chi vive quotidianamente queste incertezze e ha l’arduo compito di spiegarle ai </w:t>
      </w:r>
      <w:proofErr w:type="spellStart"/>
      <w:r>
        <w:rPr>
          <w:rFonts w:ascii="Arial" w:hAnsi="Arial" w:cs="Arial"/>
          <w:color w:val="000000"/>
        </w:rPr>
        <w:t>sovraindebitati</w:t>
      </w:r>
      <w:proofErr w:type="spellEnd"/>
      <w:r>
        <w:rPr>
          <w:rFonts w:ascii="Arial" w:hAnsi="Arial" w:cs="Arial"/>
          <w:color w:val="000000"/>
        </w:rPr>
        <w:t>, magari proponendo impugnazioni al solo fine di recuperare la certezza del diritto”.</w:t>
      </w:r>
    </w:p>
    <w:p w14:paraId="0AE9E34F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 </w:t>
      </w:r>
    </w:p>
    <w:p w14:paraId="49C1F962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Questo l’elenco degli aspetti sui quali si concentrano le proposte migliorative:</w:t>
      </w:r>
    </w:p>
    <w:p w14:paraId="3188FA78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 </w:t>
      </w:r>
    </w:p>
    <w:p w14:paraId="6EFDAD93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1. Prevalenza delle soluzioni regolatorie rispetto a quelle liquidatorie</w:t>
      </w:r>
    </w:p>
    <w:p w14:paraId="14F8D465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2. Prededuzione nel concordato minore</w:t>
      </w:r>
    </w:p>
    <w:p w14:paraId="28F8E110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 xml:space="preserve">3. Imprenditore individuale cancellato dal R.I. </w:t>
      </w:r>
    </w:p>
    <w:p w14:paraId="6EDEE964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lastRenderedPageBreak/>
        <w:t>4. Accesso necessario alle banche dati</w:t>
      </w:r>
    </w:p>
    <w:p w14:paraId="78ACA593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5. Misure cautelari e protettive</w:t>
      </w:r>
    </w:p>
    <w:p w14:paraId="1258E92C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6. Procedure familiari</w:t>
      </w:r>
    </w:p>
    <w:p w14:paraId="77F5FEB2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7. Lo stato soggettivo del debitore nelle procedure di sovraindebitamento</w:t>
      </w:r>
    </w:p>
    <w:p w14:paraId="3338D7F8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8. La nozione di frode</w:t>
      </w:r>
    </w:p>
    <w:p w14:paraId="26C20EC0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9. Moratoria nella procedura del consumatore</w:t>
      </w:r>
    </w:p>
    <w:p w14:paraId="7DBCA46D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10. La distribuzione del valore nella procedura del consumatore</w:t>
      </w:r>
    </w:p>
    <w:p w14:paraId="48FCF125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11. La prosecuzione del mutuo ipotecario nel concordato minore</w:t>
      </w:r>
    </w:p>
    <w:p w14:paraId="2ABBE28C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12. Reclamo avverso i decreti di inammissibilità</w:t>
      </w:r>
    </w:p>
    <w:p w14:paraId="04EEE0FE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13. Il garante/socio illimitatamente responsabile</w:t>
      </w:r>
    </w:p>
    <w:p w14:paraId="5B3A125D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 xml:space="preserve">14. Liquidazione controllata in assenza di beni </w:t>
      </w:r>
    </w:p>
    <w:p w14:paraId="5DDF6C6D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15. Alternativa tra liquidazione controllata e procedura dell’incapiente</w:t>
      </w:r>
    </w:p>
    <w:p w14:paraId="5F4F67FD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16. Durata della liquidazione controllata ed esdebitazione</w:t>
      </w:r>
    </w:p>
    <w:p w14:paraId="04553F50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17. Art. 271 CCII: il termine per la domanda di accesso alla procedura negoziale</w:t>
      </w:r>
    </w:p>
    <w:p w14:paraId="556A90D7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18. Distinzione del compenso tra OCC e liquidatore nella liquidazione controllata</w:t>
      </w:r>
    </w:p>
    <w:p w14:paraId="74436B75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19. Definizione OCC e i compensi dell’OCC nella fase esecutiva del piano</w:t>
      </w:r>
    </w:p>
    <w:p w14:paraId="597E6229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20. Cartolarizzazioni sociali e liquidazione controllata</w:t>
      </w:r>
    </w:p>
    <w:p w14:paraId="6088A612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21. Esercizio provvisorio nella liquidazione controllata</w:t>
      </w:r>
    </w:p>
    <w:p w14:paraId="7557DEF2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22. Riparti parziali nella liquidazione controllata</w:t>
      </w:r>
    </w:p>
    <w:p w14:paraId="4710E505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23. Revoca e sostituzione del liquidatore</w:t>
      </w:r>
    </w:p>
    <w:p w14:paraId="6E2EDB70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24. Spese in prededuzione nella liquidazione controllata con preferenza sul credito ipotecario</w:t>
      </w:r>
    </w:p>
    <w:p w14:paraId="16A543BD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 xml:space="preserve">25. Condizioni aggiuntive per l’esdebitazione del </w:t>
      </w:r>
      <w:proofErr w:type="spellStart"/>
      <w:r>
        <w:rPr>
          <w:rFonts w:ascii="Arial" w:hAnsi="Arial" w:cs="Arial"/>
          <w:color w:val="000000"/>
        </w:rPr>
        <w:t>sovraindebitato</w:t>
      </w:r>
      <w:proofErr w:type="spellEnd"/>
    </w:p>
    <w:p w14:paraId="5D245A70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26. Durata del vincolo per l’incapiente</w:t>
      </w:r>
    </w:p>
    <w:p w14:paraId="56AE5E0B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27. Presunzioni semplici dell’esdebitazione di diritto</w:t>
      </w:r>
    </w:p>
    <w:p w14:paraId="7A5AA04A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28. Iscrizione del liquidatore all’albo dei gestori ex D.M. 202/2014 nella liquidazione controllata</w:t>
      </w:r>
    </w:p>
    <w:p w14:paraId="01C41DFD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29. Patrocinio a spese dello stato e prenotazione a debito nella liquidazione controllata</w:t>
      </w:r>
    </w:p>
    <w:p w14:paraId="5BBF23FD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30. Patrocinio a spese dello stato e prenotazione a debito nelle procedure di composizione delle crisi da sovraindebitamento</w:t>
      </w:r>
    </w:p>
    <w:p w14:paraId="4ED479C7" w14:textId="77777777" w:rsidR="002C16BA" w:rsidRDefault="002C16BA" w:rsidP="002C16BA">
      <w:pPr>
        <w:pStyle w:val="NormaleWeb"/>
        <w:jc w:val="both"/>
      </w:pPr>
      <w:r>
        <w:rPr>
          <w:rFonts w:ascii="Arial" w:hAnsi="Arial" w:cs="Arial"/>
          <w:color w:val="000000"/>
        </w:rPr>
        <w:t>31. Applicazione della nuova disciplina dell’esdebitazione alle procedure pendenti alla data del 15 luglio 2022 (entrata in vigore del codice della crisi)</w:t>
      </w:r>
    </w:p>
    <w:p w14:paraId="4850A21B" w14:textId="77777777" w:rsidR="002C16BA" w:rsidRDefault="002C16BA" w:rsidP="002C16BA">
      <w:pPr>
        <w:pStyle w:val="NormaleWeb"/>
        <w:spacing w:line="276" w:lineRule="auto"/>
        <w:jc w:val="both"/>
      </w:pPr>
      <w:r>
        <w:rPr>
          <w:rFonts w:ascii="Arial" w:hAnsi="Arial" w:cs="Arial"/>
          <w:color w:val="000000"/>
        </w:rPr>
        <w:t> </w:t>
      </w:r>
    </w:p>
    <w:p w14:paraId="1867F4DA" w14:textId="77777777" w:rsidR="00607512" w:rsidRDefault="00607512"/>
    <w:sectPr w:rsidR="0060751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3320" w14:textId="77777777" w:rsidR="001D42DB" w:rsidRDefault="001D42DB" w:rsidP="00BE7F0C">
      <w:pPr>
        <w:spacing w:after="0" w:line="240" w:lineRule="auto"/>
      </w:pPr>
      <w:r>
        <w:separator/>
      </w:r>
    </w:p>
  </w:endnote>
  <w:endnote w:type="continuationSeparator" w:id="0">
    <w:p w14:paraId="4688D08A" w14:textId="77777777" w:rsidR="001D42DB" w:rsidRDefault="001D42DB" w:rsidP="00BE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46C2" w14:textId="77777777" w:rsidR="001D42DB" w:rsidRDefault="001D42DB" w:rsidP="00BE7F0C">
      <w:pPr>
        <w:spacing w:after="0" w:line="240" w:lineRule="auto"/>
      </w:pPr>
      <w:r>
        <w:separator/>
      </w:r>
    </w:p>
  </w:footnote>
  <w:footnote w:type="continuationSeparator" w:id="0">
    <w:p w14:paraId="0E3FB26D" w14:textId="77777777" w:rsidR="001D42DB" w:rsidRDefault="001D42DB" w:rsidP="00BE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0E3" w14:textId="24EC095C" w:rsidR="00BE7F0C" w:rsidRDefault="00BE7F0C" w:rsidP="00BE7F0C">
    <w:pPr>
      <w:pStyle w:val="Intestazione"/>
      <w:jc w:val="center"/>
    </w:pPr>
    <w:r>
      <w:rPr>
        <w:noProof/>
      </w:rPr>
      <w:drawing>
        <wp:inline distT="0" distB="0" distL="0" distR="0" wp14:anchorId="0E2FCF8A" wp14:editId="5B398EB0">
          <wp:extent cx="2926080" cy="993775"/>
          <wp:effectExtent l="0" t="0" r="0" b="0"/>
          <wp:docPr id="211259931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599317" name="Immagine 2112599317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BA"/>
    <w:rsid w:val="001D42DB"/>
    <w:rsid w:val="002C16BA"/>
    <w:rsid w:val="00592B89"/>
    <w:rsid w:val="00607512"/>
    <w:rsid w:val="00BE7F0C"/>
    <w:rsid w:val="00D0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AD93"/>
  <w15:chartTrackingRefBased/>
  <w15:docId w15:val="{EFB7C155-1C80-45F8-B6C0-CA9D8AC1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1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1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1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1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1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1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1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1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1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1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1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1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16B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16B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16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16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16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16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1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1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1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1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16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16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16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1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16B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16B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C16BA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customStyle="1" w:styleId="elementtoproof">
    <w:name w:val="elementtoproof"/>
    <w:basedOn w:val="Normale"/>
    <w:uiPriority w:val="99"/>
    <w:semiHidden/>
    <w:rsid w:val="002C16BA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E7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F0C"/>
  </w:style>
  <w:style w:type="paragraph" w:styleId="Pidipagina">
    <w:name w:val="footer"/>
    <w:basedOn w:val="Normale"/>
    <w:link w:val="PidipaginaCarattere"/>
    <w:uiPriority w:val="99"/>
    <w:unhideWhenUsed/>
    <w:rsid w:val="00BE7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2024-02-07T14:05:00Z</dcterms:created>
  <dcterms:modified xsi:type="dcterms:W3CDTF">2024-02-07T14:07:00Z</dcterms:modified>
</cp:coreProperties>
</file>