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04" w:rsidRPr="001A2D43" w:rsidRDefault="009D1104" w:rsidP="001A2D43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237BEE" w:rsidRPr="001A2D43" w:rsidRDefault="009F27EC" w:rsidP="001A2D43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  <w:bookmarkStart w:id="0" w:name="OLE_LINK1"/>
      <w:bookmarkStart w:id="1" w:name="OLE_LINK2"/>
      <w:bookmarkStart w:id="2" w:name="OLE_LINK3"/>
      <w:bookmarkStart w:id="3" w:name="OLE_LINK4"/>
      <w:r w:rsidRPr="001A2D43">
        <w:rPr>
          <w:rFonts w:ascii="Arial" w:hAnsi="Arial" w:cs="Arial"/>
          <w:color w:val="000000" w:themeColor="text1"/>
        </w:rPr>
        <w:t>Comunicato stampa</w:t>
      </w:r>
    </w:p>
    <w:p w:rsidR="001A2D43" w:rsidRPr="001A2D43" w:rsidRDefault="001A2D43" w:rsidP="001A2D43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 w:themeColor="text1"/>
        </w:rPr>
      </w:pPr>
    </w:p>
    <w:bookmarkEnd w:id="0"/>
    <w:bookmarkEnd w:id="1"/>
    <w:bookmarkEnd w:id="2"/>
    <w:bookmarkEnd w:id="3"/>
    <w:p w:rsidR="001A2D43" w:rsidRPr="001A2D43" w:rsidRDefault="001A2D43" w:rsidP="001A2D43">
      <w:pPr>
        <w:pStyle w:val="xmsonormal0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D43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COMMERCIALISTI, PUBBLICATI I NUOVI PRINCIPI DI ATTESTAZIONE DEI PIANI DI RISANAMENTO  </w:t>
      </w:r>
    </w:p>
    <w:p w:rsidR="001A2D43" w:rsidRPr="000E0D72" w:rsidRDefault="001A2D43" w:rsidP="001A2D43">
      <w:pPr>
        <w:pStyle w:val="xmsonormal0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2D43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Aggiornato il documento del 2014 per tener conto dell’evoluzione normativa, di nuove </w:t>
      </w:r>
      <w:bookmarkStart w:id="4" w:name="_GoBack"/>
      <w:r w:rsidRPr="000E0D72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interpretazioni dottrinali e giurisprudenziali e dell’emergenza Covid</w:t>
      </w:r>
      <w:r w:rsidR="000E0D72" w:rsidRPr="000E0D72">
        <w:rPr>
          <w:rFonts w:ascii="Arial" w:hAnsi="Arial" w:cs="Arial"/>
          <w:b/>
          <w:bCs/>
          <w:color w:val="201F1E"/>
          <w:sz w:val="24"/>
          <w:szCs w:val="24"/>
        </w:rPr>
        <w:t>-19</w:t>
      </w:r>
    </w:p>
    <w:bookmarkEnd w:id="4"/>
    <w:p w:rsidR="001A2D43" w:rsidRPr="001A2D43" w:rsidRDefault="001A2D43" w:rsidP="001A2D43">
      <w:pPr>
        <w:pStyle w:val="xmsonormal0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D43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</w:t>
      </w:r>
      <w:r w:rsidRPr="001A2D43">
        <w:rPr>
          <w:rFonts w:ascii="Arial" w:hAnsi="Arial" w:cs="Arial"/>
          <w:i/>
          <w:iCs/>
          <w:color w:val="201F1E"/>
          <w:sz w:val="24"/>
          <w:szCs w:val="24"/>
        </w:rPr>
        <w:t> </w:t>
      </w:r>
    </w:p>
    <w:p w:rsidR="001A2D43" w:rsidRDefault="001A2D43" w:rsidP="001A2D43">
      <w:pPr>
        <w:pStyle w:val="s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2D43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</w:rPr>
        <w:t>Roma, 7 gennaio 2021 -</w:t>
      </w:r>
      <w:r w:rsidRPr="001A2D43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Il Consiglio Nazionale dei Dottori Commercialisti e degli Esperti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 Contabili ha pubblicato i nuovi 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Principi di attestazione dei piani di risanamento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 xml:space="preserve">, che aggiornano quelli approvati nel 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</w:rPr>
        <w:t>2014</w:t>
      </w: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Il documento era stato posto in pubblica consultazione lo scorso anno ed </w:t>
      </w:r>
      <w:r>
        <w:rPr>
          <w:rStyle w:val="s21"/>
          <w:rFonts w:ascii="Arial" w:hAnsi="Arial" w:cs="Arial"/>
          <w:color w:val="000000"/>
          <w:sz w:val="24"/>
          <w:szCs w:val="24"/>
        </w:rPr>
        <w:t>è ora disponibile sul sito del Consiglio Nazionale dei commercialisti (</w:t>
      </w:r>
      <w:hyperlink r:id="rId6" w:history="1">
        <w:r>
          <w:rPr>
            <w:rStyle w:val="Collegamentoipertestuale"/>
            <w:rFonts w:ascii="Arial" w:hAnsi="Arial" w:cs="Arial"/>
            <w:sz w:val="24"/>
            <w:szCs w:val="24"/>
          </w:rPr>
          <w:t>www.commercialisti.it</w:t>
        </w:r>
      </w:hyperlink>
      <w:r>
        <w:rPr>
          <w:rStyle w:val="s22"/>
          <w:rFonts w:ascii="Arial" w:hAnsi="Arial" w:cs="Arial"/>
          <w:color w:val="0000FF"/>
          <w:sz w:val="24"/>
          <w:szCs w:val="24"/>
        </w:rPr>
        <w:t>).</w:t>
      </w:r>
      <w:r>
        <w:rPr>
          <w:rFonts w:ascii="Arial" w:hAnsi="Arial" w:cs="Arial"/>
          <w:color w:val="000000"/>
          <w:sz w:val="24"/>
          <w:szCs w:val="24"/>
        </w:rPr>
        <w:t> </w:t>
      </w:r>
    </w:p>
    <w:p w:rsidR="001A2D43" w:rsidRDefault="001A2D43" w:rsidP="001A2D43">
      <w:pPr>
        <w:pStyle w:val="xmsonormal0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201F1E"/>
          <w:sz w:val="24"/>
          <w:szCs w:val="24"/>
        </w:rPr>
        <w:t> </w:t>
      </w:r>
    </w:p>
    <w:p w:rsidR="001A2D43" w:rsidRDefault="001A2D43" w:rsidP="001A2D43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  <w:color w:val="000000"/>
          <w:bdr w:val="none" w:sz="0" w:space="0" w:color="auto" w:frame="1"/>
        </w:rPr>
        <w:t>Revisionati nell’ambito dell’area di delega “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Procedure concorsuali e risanamento di impresa</w:t>
      </w:r>
      <w:r>
        <w:rPr>
          <w:rFonts w:ascii="Arial" w:hAnsi="Arial" w:cs="Arial"/>
          <w:color w:val="000000"/>
          <w:bdr w:val="none" w:sz="0" w:space="0" w:color="auto" w:frame="1"/>
        </w:rPr>
        <w:t>” dei consiglieri nazionali dei commercialisti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Andrea Foschi </w:t>
      </w:r>
      <w:r>
        <w:rPr>
          <w:rFonts w:ascii="Arial" w:hAnsi="Arial" w:cs="Arial"/>
          <w:color w:val="000000"/>
          <w:bdr w:val="none" w:sz="0" w:space="0" w:color="auto" w:frame="1"/>
        </w:rPr>
        <w:t>e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Sandro Santi, </w:t>
      </w:r>
      <w:r>
        <w:rPr>
          <w:rFonts w:ascii="Arial" w:hAnsi="Arial" w:cs="Arial"/>
          <w:color w:val="000000"/>
          <w:bdr w:val="none" w:sz="0" w:space="0" w:color="auto" w:frame="1"/>
        </w:rPr>
        <w:t>i Principi sono stati curati da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AIDEA</w:t>
      </w:r>
      <w:r>
        <w:rPr>
          <w:rFonts w:ascii="Arial" w:hAnsi="Arial" w:cs="Arial"/>
          <w:color w:val="000000"/>
          <w:bdr w:val="none" w:sz="0" w:space="0" w:color="auto" w:frame="1"/>
        </w:rPr>
        <w:t> (Accademia Italiana Di Economia Aziendale),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FNC</w:t>
      </w:r>
      <w:r>
        <w:rPr>
          <w:rFonts w:ascii="Arial" w:hAnsi="Arial" w:cs="Arial"/>
          <w:color w:val="000000"/>
          <w:bdr w:val="none" w:sz="0" w:space="0" w:color="auto" w:frame="1"/>
        </w:rPr>
        <w:t> (Fondazione Nazionale Commercialisti),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ANDAF</w:t>
      </w:r>
      <w:r>
        <w:rPr>
          <w:rFonts w:ascii="Arial" w:hAnsi="Arial" w:cs="Arial"/>
          <w:color w:val="000000"/>
          <w:bdr w:val="none" w:sz="0" w:space="0" w:color="auto" w:frame="1"/>
        </w:rPr>
        <w:t> (Associazione Nazionale Direttori Amministrativi e Finanziari),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APRI</w:t>
      </w:r>
      <w:r>
        <w:rPr>
          <w:rFonts w:ascii="Arial" w:hAnsi="Arial" w:cs="Arial"/>
          <w:color w:val="000000"/>
          <w:bdr w:val="none" w:sz="0" w:space="0" w:color="auto" w:frame="1"/>
        </w:rPr>
        <w:t> (Associazione Professionisti Risanamento Imprese) e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OCRI</w:t>
      </w:r>
      <w:r>
        <w:rPr>
          <w:rFonts w:ascii="Arial" w:hAnsi="Arial" w:cs="Arial"/>
          <w:color w:val="000000"/>
          <w:bdr w:val="none" w:sz="0" w:space="0" w:color="auto" w:frame="1"/>
        </w:rPr>
        <w:t> (Osservatorio Crisi e Risanamento delle Imprese).</w:t>
      </w:r>
      <w:r>
        <w:rPr>
          <w:rFonts w:ascii="Arial" w:hAnsi="Arial" w:cs="Arial"/>
          <w:color w:val="000000"/>
        </w:rPr>
        <w:t xml:space="preserve">  </w:t>
      </w:r>
    </w:p>
    <w:p w:rsidR="001A2D43" w:rsidRDefault="001A2D43" w:rsidP="001A2D43">
      <w:pPr>
        <w:jc w:val="both"/>
        <w:rPr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:rsidR="001A2D43" w:rsidRDefault="001A2D43" w:rsidP="001A2D43">
      <w:pPr>
        <w:jc w:val="both"/>
        <w:rPr>
          <w:color w:val="000000"/>
        </w:rPr>
      </w:pPr>
      <w:r>
        <w:rPr>
          <w:rFonts w:ascii="Arial" w:hAnsi="Arial" w:cs="Arial"/>
          <w:color w:val="000000"/>
        </w:rPr>
        <w:t xml:space="preserve">I Principi sono stati rivisti e aggiornati per tener conto degli </w:t>
      </w:r>
      <w:r>
        <w:rPr>
          <w:rFonts w:ascii="Arial" w:hAnsi="Arial" w:cs="Arial"/>
          <w:b/>
          <w:bCs/>
          <w:color w:val="000000"/>
        </w:rPr>
        <w:t>indirizzi giurisprudenziali</w:t>
      </w:r>
      <w:r>
        <w:rPr>
          <w:rFonts w:ascii="Arial" w:hAnsi="Arial" w:cs="Arial"/>
          <w:color w:val="000000"/>
        </w:rPr>
        <w:t xml:space="preserve">, delle novità del </w:t>
      </w:r>
      <w:r>
        <w:rPr>
          <w:rFonts w:ascii="Arial" w:hAnsi="Arial" w:cs="Arial"/>
          <w:b/>
          <w:bCs/>
          <w:color w:val="000000"/>
        </w:rPr>
        <w:t>Codice della Crisi</w:t>
      </w:r>
      <w:r>
        <w:rPr>
          <w:rFonts w:ascii="Arial" w:hAnsi="Arial" w:cs="Arial"/>
          <w:color w:val="000000"/>
        </w:rPr>
        <w:t xml:space="preserve"> (limitandosi a quanto utile e necessario visto la frammentazione delle norme entrate in vigore rispetto al testo definitivo), ma anche delle conseguenze </w:t>
      </w:r>
      <w:r>
        <w:rPr>
          <w:rFonts w:ascii="Arial" w:hAnsi="Arial" w:cs="Arial"/>
          <w:b/>
          <w:bCs/>
          <w:color w:val="000000"/>
        </w:rPr>
        <w:t>dell’emergenza sanitaria Covid-19</w:t>
      </w:r>
      <w:r>
        <w:rPr>
          <w:rFonts w:ascii="Arial" w:hAnsi="Arial" w:cs="Arial"/>
          <w:color w:val="000000"/>
        </w:rPr>
        <w:t>, trasformatasi ormai anche in emergenza economica per molte imprese.</w:t>
      </w:r>
      <w:r>
        <w:rPr>
          <w:rFonts w:ascii="Arial" w:eastAsia="Times New Roman" w:hAnsi="Arial" w:cs="Arial"/>
          <w:color w:val="000000"/>
        </w:rPr>
        <w:t> </w:t>
      </w:r>
    </w:p>
    <w:p w:rsidR="001A2D43" w:rsidRDefault="001A2D43" w:rsidP="001A2D43">
      <w:pPr>
        <w:pStyle w:val="xmsonormal0"/>
        <w:shd w:val="clear" w:color="auto" w:fill="FFFFFF"/>
        <w:ind w:left="7" w:hanging="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 </w:t>
      </w:r>
      <w:r>
        <w:rPr>
          <w:rFonts w:ascii="Arial" w:hAnsi="Arial" w:cs="Arial"/>
          <w:color w:val="201F1E"/>
          <w:sz w:val="24"/>
          <w:szCs w:val="24"/>
        </w:rPr>
        <w:t> </w:t>
      </w:r>
    </w:p>
    <w:p w:rsidR="001A2D43" w:rsidRDefault="001A2D43" w:rsidP="001A2D43">
      <w:pPr>
        <w:pStyle w:val="s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21"/>
          <w:rFonts w:ascii="Arial" w:hAnsi="Arial" w:cs="Arial"/>
          <w:color w:val="000000"/>
          <w:sz w:val="24"/>
          <w:szCs w:val="24"/>
        </w:rPr>
        <w:t xml:space="preserve">Riguardo al contenuto dei Nuovi Principi di attestazione, lo </w:t>
      </w:r>
      <w:r>
        <w:rPr>
          <w:rStyle w:val="s21"/>
          <w:rFonts w:ascii="Arial" w:hAnsi="Arial" w:cs="Arial"/>
          <w:b/>
          <w:bCs/>
          <w:color w:val="000000"/>
          <w:sz w:val="24"/>
          <w:szCs w:val="24"/>
        </w:rPr>
        <w:t>schema di base delle attività</w:t>
      </w:r>
      <w:r>
        <w:rPr>
          <w:rStyle w:val="s21"/>
          <w:rFonts w:ascii="Arial" w:hAnsi="Arial" w:cs="Arial"/>
          <w:color w:val="000000"/>
          <w:sz w:val="24"/>
          <w:szCs w:val="24"/>
        </w:rPr>
        <w:t xml:space="preserve"> che deve svolgere il professionista esperto incaricato </w:t>
      </w:r>
      <w:r>
        <w:rPr>
          <w:rStyle w:val="s21"/>
          <w:rFonts w:ascii="Arial" w:hAnsi="Arial" w:cs="Arial"/>
          <w:b/>
          <w:bCs/>
          <w:color w:val="000000"/>
          <w:sz w:val="24"/>
          <w:szCs w:val="24"/>
        </w:rPr>
        <w:t>resta sostanzialmente quello preesistente</w:t>
      </w:r>
      <w:r>
        <w:rPr>
          <w:rStyle w:val="s21"/>
          <w:rFonts w:ascii="Arial" w:hAnsi="Arial" w:cs="Arial"/>
          <w:color w:val="000000"/>
          <w:sz w:val="24"/>
          <w:szCs w:val="24"/>
        </w:rPr>
        <w:t xml:space="preserve">, ma le </w:t>
      </w:r>
      <w:r>
        <w:rPr>
          <w:rStyle w:val="s21"/>
          <w:rFonts w:ascii="Arial" w:hAnsi="Arial" w:cs="Arial"/>
          <w:b/>
          <w:bCs/>
          <w:color w:val="000000"/>
          <w:sz w:val="24"/>
          <w:szCs w:val="24"/>
        </w:rPr>
        <w:t>innovazioni</w:t>
      </w:r>
      <w:r>
        <w:rPr>
          <w:rStyle w:val="s21"/>
          <w:rFonts w:ascii="Arial" w:hAnsi="Arial" w:cs="Arial"/>
          <w:color w:val="000000"/>
          <w:sz w:val="24"/>
          <w:szCs w:val="24"/>
        </w:rPr>
        <w:t xml:space="preserve"> apportate sono significative in particolare tema di </w:t>
      </w:r>
      <w:r>
        <w:rPr>
          <w:rStyle w:val="s21"/>
          <w:rFonts w:ascii="Arial" w:hAnsi="Arial" w:cs="Arial"/>
          <w:b/>
          <w:bCs/>
          <w:color w:val="000000"/>
          <w:sz w:val="24"/>
          <w:szCs w:val="24"/>
        </w:rPr>
        <w:t>indipendenza e compenso dell’attestatore</w:t>
      </w:r>
      <w:r>
        <w:rPr>
          <w:rStyle w:val="s21"/>
          <w:rFonts w:ascii="Arial" w:hAnsi="Arial" w:cs="Arial"/>
          <w:color w:val="000000"/>
          <w:sz w:val="24"/>
          <w:szCs w:val="24"/>
        </w:rPr>
        <w:t xml:space="preserve">, di </w:t>
      </w:r>
      <w:r>
        <w:rPr>
          <w:rStyle w:val="s21"/>
          <w:rFonts w:ascii="Arial" w:hAnsi="Arial" w:cs="Arial"/>
          <w:b/>
          <w:bCs/>
          <w:color w:val="000000"/>
          <w:sz w:val="24"/>
          <w:szCs w:val="24"/>
        </w:rPr>
        <w:t>definizione del perimetro delle verifiche</w:t>
      </w:r>
      <w:r>
        <w:rPr>
          <w:rStyle w:val="s21"/>
          <w:rFonts w:ascii="Arial" w:hAnsi="Arial" w:cs="Arial"/>
          <w:color w:val="000000"/>
          <w:sz w:val="24"/>
          <w:szCs w:val="24"/>
        </w:rPr>
        <w:t xml:space="preserve">, delle successive </w:t>
      </w:r>
      <w:r>
        <w:rPr>
          <w:rStyle w:val="s21"/>
          <w:rFonts w:ascii="Arial" w:hAnsi="Arial" w:cs="Arial"/>
          <w:b/>
          <w:bCs/>
          <w:color w:val="000000"/>
          <w:sz w:val="24"/>
          <w:szCs w:val="24"/>
        </w:rPr>
        <w:t>modifiche del piano e delle attività di monitoraggio</w:t>
      </w:r>
      <w:r>
        <w:rPr>
          <w:rStyle w:val="s21"/>
          <w:rFonts w:ascii="Arial" w:hAnsi="Arial" w:cs="Arial"/>
          <w:color w:val="000000"/>
          <w:sz w:val="24"/>
          <w:szCs w:val="24"/>
        </w:rPr>
        <w:t xml:space="preserve"> dello stesso. Particolare attenzione viene infine riservata al tema della </w:t>
      </w:r>
      <w:r>
        <w:rPr>
          <w:rStyle w:val="s21"/>
          <w:rFonts w:ascii="Arial" w:hAnsi="Arial" w:cs="Arial"/>
          <w:b/>
          <w:bCs/>
          <w:color w:val="000000"/>
          <w:sz w:val="24"/>
          <w:szCs w:val="24"/>
        </w:rPr>
        <w:t>valutazione del miglior soddisfacimento dei creditori</w:t>
      </w:r>
      <w:r>
        <w:rPr>
          <w:rStyle w:val="s21"/>
          <w:rFonts w:ascii="Arial" w:hAnsi="Arial" w:cs="Arial"/>
          <w:color w:val="000000"/>
          <w:sz w:val="24"/>
          <w:szCs w:val="24"/>
        </w:rPr>
        <w:t xml:space="preserve"> in caso di </w:t>
      </w:r>
      <w:r>
        <w:rPr>
          <w:rStyle w:val="s21"/>
          <w:rFonts w:ascii="Arial" w:hAnsi="Arial" w:cs="Arial"/>
          <w:b/>
          <w:bCs/>
          <w:color w:val="000000"/>
          <w:sz w:val="24"/>
          <w:szCs w:val="24"/>
        </w:rPr>
        <w:t>concordato preventivo</w:t>
      </w:r>
      <w:r>
        <w:rPr>
          <w:rStyle w:val="s21"/>
          <w:rFonts w:ascii="Arial" w:hAnsi="Arial" w:cs="Arial"/>
          <w:color w:val="000000"/>
          <w:sz w:val="24"/>
          <w:szCs w:val="24"/>
        </w:rPr>
        <w:t xml:space="preserve"> in continuità alle “utilità” esterne in relazione alle quali l’attestatore dovrà esprimersi in modo circostanziato.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 </w:t>
      </w:r>
    </w:p>
    <w:p w:rsidR="001A2D43" w:rsidRDefault="001A2D43" w:rsidP="001A2D43">
      <w:pPr>
        <w:pStyle w:val="s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 </w:t>
      </w:r>
    </w:p>
    <w:p w:rsidR="001A2D43" w:rsidRDefault="001A2D43" w:rsidP="001A2D43">
      <w:pPr>
        <w:pStyle w:val="s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21"/>
          <w:rFonts w:ascii="Arial" w:hAnsi="Arial" w:cs="Arial"/>
          <w:color w:val="000000"/>
          <w:sz w:val="24"/>
          <w:szCs w:val="24"/>
        </w:rPr>
        <w:t xml:space="preserve">I Nuovi Principi di attestazione affrontano, poi, il rilevante tema </w:t>
      </w:r>
      <w:r>
        <w:rPr>
          <w:rStyle w:val="s21"/>
          <w:rFonts w:ascii="Arial" w:hAnsi="Arial" w:cs="Arial"/>
          <w:b/>
          <w:bCs/>
          <w:color w:val="000000"/>
          <w:sz w:val="24"/>
          <w:szCs w:val="24"/>
        </w:rPr>
        <w:t xml:space="preserve">dell’incertezza sanitaria ed economica causata dalla pandemia Covid-19 </w:t>
      </w:r>
      <w:r>
        <w:rPr>
          <w:rStyle w:val="s21"/>
          <w:rFonts w:ascii="Arial" w:hAnsi="Arial" w:cs="Arial"/>
          <w:color w:val="000000"/>
          <w:sz w:val="24"/>
          <w:szCs w:val="24"/>
        </w:rPr>
        <w:t>proponendo suggerimenti di ausilio alla fattibilità del Piano, compreso quello di ricorrere, ove occorra, ad una pluralità di scenari e all’ampliamento, anche oltre i cinque anni, dell’orizzonte temporale del Piano di risanamento, a condizione che sia adeguatamente motivato dal debitore e ritenuto giustificato dall’attestatore.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 </w:t>
      </w:r>
    </w:p>
    <w:p w:rsidR="001A2D43" w:rsidRDefault="001A2D43" w:rsidP="001A2D43">
      <w:pPr>
        <w:pStyle w:val="s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  </w:t>
      </w:r>
    </w:p>
    <w:p w:rsidR="001A2D43" w:rsidRDefault="001A2D43" w:rsidP="001A2D43">
      <w:pPr>
        <w:pStyle w:val="s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21"/>
          <w:rFonts w:ascii="Arial" w:hAnsi="Arial" w:cs="Arial"/>
          <w:color w:val="000000"/>
          <w:sz w:val="24"/>
          <w:szCs w:val="24"/>
        </w:rPr>
        <w:t>Il lavoro è, infine, completato dalle attestazioni speciali di cui agli artt. 182-</w:t>
      </w:r>
      <w:r>
        <w:rPr>
          <w:rStyle w:val="s20"/>
          <w:rFonts w:ascii="Arial" w:hAnsi="Arial" w:cs="Arial"/>
          <w:i/>
          <w:iCs/>
          <w:color w:val="000000"/>
          <w:sz w:val="24"/>
          <w:szCs w:val="24"/>
        </w:rPr>
        <w:t>ter</w:t>
      </w:r>
      <w:r>
        <w:rPr>
          <w:rStyle w:val="s21"/>
          <w:rFonts w:ascii="Arial" w:hAnsi="Arial" w:cs="Arial"/>
          <w:color w:val="000000"/>
          <w:sz w:val="24"/>
          <w:szCs w:val="24"/>
        </w:rPr>
        <w:t>, 182-</w:t>
      </w:r>
      <w:r>
        <w:rPr>
          <w:rStyle w:val="s20"/>
          <w:rFonts w:ascii="Arial" w:hAnsi="Arial" w:cs="Arial"/>
          <w:i/>
          <w:iCs/>
          <w:color w:val="000000"/>
          <w:sz w:val="24"/>
          <w:szCs w:val="24"/>
        </w:rPr>
        <w:t>quinquies</w:t>
      </w:r>
      <w:r>
        <w:rPr>
          <w:rStyle w:val="apple-converted-space"/>
          <w:rFonts w:ascii="Arial" w:hAnsi="Arial" w:cs="Arial"/>
          <w:i/>
          <w:iCs/>
          <w:color w:val="000000"/>
          <w:sz w:val="24"/>
          <w:szCs w:val="24"/>
        </w:rPr>
        <w:t> </w:t>
      </w:r>
      <w:r>
        <w:rPr>
          <w:rStyle w:val="s21"/>
          <w:rFonts w:ascii="Arial" w:hAnsi="Arial" w:cs="Arial"/>
          <w:color w:val="000000"/>
          <w:sz w:val="24"/>
          <w:szCs w:val="24"/>
        </w:rPr>
        <w:t>e 186-</w:t>
      </w:r>
      <w:r>
        <w:rPr>
          <w:rStyle w:val="s20"/>
          <w:rFonts w:ascii="Arial" w:hAnsi="Arial" w:cs="Arial"/>
          <w:i/>
          <w:iCs/>
          <w:color w:val="000000"/>
          <w:sz w:val="24"/>
          <w:szCs w:val="24"/>
        </w:rPr>
        <w:t>bis</w:t>
      </w:r>
      <w:r>
        <w:rPr>
          <w:rStyle w:val="apple-converted-space"/>
          <w:rFonts w:ascii="Arial" w:hAnsi="Arial" w:cs="Arial"/>
          <w:i/>
          <w:iCs/>
          <w:color w:val="000000"/>
          <w:sz w:val="24"/>
          <w:szCs w:val="24"/>
        </w:rPr>
        <w:t> </w:t>
      </w:r>
      <w:proofErr w:type="spellStart"/>
      <w:r>
        <w:rPr>
          <w:rStyle w:val="s21"/>
          <w:rFonts w:ascii="Arial" w:hAnsi="Arial" w:cs="Arial"/>
          <w:color w:val="000000"/>
          <w:sz w:val="24"/>
          <w:szCs w:val="24"/>
        </w:rPr>
        <w:t>l.fall</w:t>
      </w:r>
      <w:proofErr w:type="spellEnd"/>
      <w:r>
        <w:rPr>
          <w:rStyle w:val="s21"/>
          <w:rFonts w:ascii="Arial" w:hAnsi="Arial" w:cs="Arial"/>
          <w:color w:val="000000"/>
          <w:sz w:val="24"/>
          <w:szCs w:val="24"/>
        </w:rPr>
        <w:t xml:space="preserve">. e dalla cosiddetta </w:t>
      </w:r>
      <w:r>
        <w:rPr>
          <w:rStyle w:val="s21"/>
          <w:rFonts w:ascii="Arial" w:hAnsi="Arial" w:cs="Arial"/>
          <w:b/>
          <w:bCs/>
          <w:color w:val="000000"/>
          <w:sz w:val="24"/>
          <w:szCs w:val="24"/>
        </w:rPr>
        <w:t>attestazione di uscita dalla crisi</w:t>
      </w:r>
      <w:r>
        <w:rPr>
          <w:rStyle w:val="s21"/>
          <w:rFonts w:ascii="Arial" w:hAnsi="Arial" w:cs="Arial"/>
          <w:color w:val="000000"/>
          <w:sz w:val="24"/>
          <w:szCs w:val="24"/>
        </w:rPr>
        <w:t>, non prevista dalla normativa, ma alla quale le imprese già ricorrono per porre la parola “fine” al processo di risanamento.</w:t>
      </w:r>
      <w:r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 </w:t>
      </w:r>
    </w:p>
    <w:p w:rsidR="00A94AEF" w:rsidRDefault="00A94AEF" w:rsidP="001A2D43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A94AEF" w:rsidSect="00986D9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E90" w:rsidRDefault="00AA2E90" w:rsidP="00627996">
      <w:r>
        <w:separator/>
      </w:r>
    </w:p>
  </w:endnote>
  <w:endnote w:type="continuationSeparator" w:id="0">
    <w:p w:rsidR="00AA2E90" w:rsidRDefault="00AA2E90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E90" w:rsidRDefault="00AA2E90" w:rsidP="00627996">
      <w:r>
        <w:separator/>
      </w:r>
    </w:p>
  </w:footnote>
  <w:footnote w:type="continuationSeparator" w:id="0">
    <w:p w:rsidR="00AA2E90" w:rsidRDefault="00AA2E90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0129AC2" wp14:editId="24C7E031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E0D72"/>
    <w:rsid w:val="001A2D43"/>
    <w:rsid w:val="001B3759"/>
    <w:rsid w:val="001D0C92"/>
    <w:rsid w:val="00206248"/>
    <w:rsid w:val="00237BEE"/>
    <w:rsid w:val="002B1170"/>
    <w:rsid w:val="002B1507"/>
    <w:rsid w:val="002E31F2"/>
    <w:rsid w:val="00312EE1"/>
    <w:rsid w:val="003248FA"/>
    <w:rsid w:val="003C2FC0"/>
    <w:rsid w:val="00595991"/>
    <w:rsid w:val="005D3590"/>
    <w:rsid w:val="00627996"/>
    <w:rsid w:val="00656CC5"/>
    <w:rsid w:val="006E7E8D"/>
    <w:rsid w:val="00734687"/>
    <w:rsid w:val="00986D90"/>
    <w:rsid w:val="009D1104"/>
    <w:rsid w:val="009F27EC"/>
    <w:rsid w:val="00A94AEF"/>
    <w:rsid w:val="00AA2E90"/>
    <w:rsid w:val="00AC6BB0"/>
    <w:rsid w:val="00AF68B1"/>
    <w:rsid w:val="00BB55BF"/>
    <w:rsid w:val="00C01FBE"/>
    <w:rsid w:val="00C87DE9"/>
    <w:rsid w:val="00C96190"/>
    <w:rsid w:val="00D0285A"/>
    <w:rsid w:val="00D41E98"/>
    <w:rsid w:val="00D63693"/>
    <w:rsid w:val="00DB4B99"/>
    <w:rsid w:val="00E070CE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8D62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character" w:styleId="Collegamentoipertestuale">
    <w:name w:val="Hyperlink"/>
    <w:basedOn w:val="Carpredefinitoparagrafo"/>
    <w:uiPriority w:val="99"/>
    <w:semiHidden/>
    <w:unhideWhenUsed/>
    <w:rsid w:val="00A94AEF"/>
    <w:rPr>
      <w:color w:val="0000FF"/>
      <w:u w:val="single"/>
    </w:rPr>
  </w:style>
  <w:style w:type="paragraph" w:customStyle="1" w:styleId="xmsonormal">
    <w:name w:val="x_msonormal"/>
    <w:basedOn w:val="Normale"/>
    <w:uiPriority w:val="99"/>
    <w:semiHidden/>
    <w:rsid w:val="00A94AEF"/>
    <w:rPr>
      <w:rFonts w:ascii="Calibri" w:hAnsi="Calibri" w:cs="Calibri"/>
      <w:sz w:val="22"/>
      <w:szCs w:val="22"/>
      <w:lang w:eastAsia="it-IT"/>
    </w:rPr>
  </w:style>
  <w:style w:type="paragraph" w:customStyle="1" w:styleId="xmsonormal0">
    <w:name w:val="xmsonormal"/>
    <w:basedOn w:val="Normale"/>
    <w:rsid w:val="001A2D43"/>
    <w:rPr>
      <w:rFonts w:ascii="Calibri" w:hAnsi="Calibri" w:cs="Calibri"/>
      <w:sz w:val="22"/>
      <w:szCs w:val="22"/>
      <w:lang w:eastAsia="it-IT"/>
    </w:rPr>
  </w:style>
  <w:style w:type="paragraph" w:customStyle="1" w:styleId="s19">
    <w:name w:val="s19"/>
    <w:basedOn w:val="Normale"/>
    <w:rsid w:val="001A2D43"/>
    <w:rPr>
      <w:rFonts w:ascii="Calibri" w:hAnsi="Calibri" w:cs="Calibri"/>
      <w:sz w:val="22"/>
      <w:szCs w:val="22"/>
      <w:lang w:eastAsia="it-IT"/>
    </w:rPr>
  </w:style>
  <w:style w:type="character" w:customStyle="1" w:styleId="s21">
    <w:name w:val="s21"/>
    <w:basedOn w:val="Carpredefinitoparagrafo"/>
    <w:rsid w:val="001A2D43"/>
  </w:style>
  <w:style w:type="character" w:customStyle="1" w:styleId="s22">
    <w:name w:val="s22"/>
    <w:basedOn w:val="Carpredefinitoparagrafo"/>
    <w:rsid w:val="001A2D43"/>
  </w:style>
  <w:style w:type="character" w:customStyle="1" w:styleId="apple-converted-space">
    <w:name w:val="apple-converted-space"/>
    <w:basedOn w:val="Carpredefinitoparagrafo"/>
    <w:rsid w:val="001A2D43"/>
  </w:style>
  <w:style w:type="character" w:customStyle="1" w:styleId="s20">
    <w:name w:val="s20"/>
    <w:basedOn w:val="Carpredefinitoparagrafo"/>
    <w:rsid w:val="001A2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mercialist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5</cp:revision>
  <dcterms:created xsi:type="dcterms:W3CDTF">2021-01-13T10:31:00Z</dcterms:created>
  <dcterms:modified xsi:type="dcterms:W3CDTF">2021-01-13T10:39:00Z</dcterms:modified>
</cp:coreProperties>
</file>