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F6AB" w14:textId="77777777" w:rsidR="007840AA" w:rsidRPr="00C94DBB" w:rsidRDefault="007840AA" w:rsidP="00C94DB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F57224" w14:textId="0E31C054" w:rsidR="00E51BA8" w:rsidRPr="00BD5BA0" w:rsidRDefault="00E51BA8" w:rsidP="00A708E1">
      <w:pPr>
        <w:pStyle w:val="elementtoproof"/>
        <w:jc w:val="center"/>
        <w:rPr>
          <w:rFonts w:ascii="Arial" w:hAnsi="Arial" w:cs="Arial"/>
          <w:sz w:val="23"/>
          <w:szCs w:val="23"/>
        </w:rPr>
      </w:pPr>
      <w:r w:rsidRPr="00BD5BA0">
        <w:rPr>
          <w:rFonts w:ascii="Arial" w:hAnsi="Arial" w:cs="Arial"/>
          <w:b/>
          <w:bCs/>
          <w:color w:val="000000"/>
          <w:sz w:val="23"/>
          <w:szCs w:val="23"/>
          <w:u w:val="single"/>
          <w:shd w:val="clear" w:color="auto" w:fill="FFFFFF"/>
        </w:rPr>
        <w:t>Comunicato stampa</w:t>
      </w:r>
    </w:p>
    <w:p w14:paraId="5928C04B" w14:textId="77777777" w:rsidR="00E51BA8" w:rsidRPr="00423660" w:rsidRDefault="00E51BA8" w:rsidP="00A708E1">
      <w:pPr>
        <w:pStyle w:val="elementtoproof"/>
        <w:jc w:val="center"/>
        <w:rPr>
          <w:rFonts w:ascii="Arial" w:hAnsi="Arial" w:cs="Arial"/>
          <w:b/>
          <w:bCs/>
          <w:sz w:val="23"/>
          <w:szCs w:val="23"/>
        </w:rPr>
      </w:pPr>
    </w:p>
    <w:p w14:paraId="5F9F9A24" w14:textId="4BCCE473" w:rsidR="00E51BA8" w:rsidRPr="00423660" w:rsidRDefault="00794314" w:rsidP="00A708E1">
      <w:pPr>
        <w:pStyle w:val="elementtoproof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423660">
        <w:rPr>
          <w:rFonts w:ascii="Arial" w:eastAsia="Times New Roman" w:hAnsi="Arial" w:cs="Arial"/>
          <w:b/>
          <w:bCs/>
          <w:sz w:val="23"/>
          <w:szCs w:val="23"/>
        </w:rPr>
        <w:t>INFORMATIVA ECONOMICO-FINANZIARIA E BANCABILITÀ DELLE PMI: DOCUMENTO CONSIGLIO E FONDAZIONE</w:t>
      </w:r>
      <w:r w:rsidR="0012362D" w:rsidRPr="00423660">
        <w:rPr>
          <w:rFonts w:ascii="Arial" w:eastAsia="Times New Roman" w:hAnsi="Arial" w:cs="Arial"/>
          <w:b/>
          <w:bCs/>
          <w:sz w:val="23"/>
          <w:szCs w:val="23"/>
        </w:rPr>
        <w:t xml:space="preserve"> NAZIONALI</w:t>
      </w:r>
      <w:r w:rsidRPr="00423660">
        <w:rPr>
          <w:rFonts w:ascii="Arial" w:eastAsia="Times New Roman" w:hAnsi="Arial" w:cs="Arial"/>
          <w:b/>
          <w:bCs/>
          <w:sz w:val="23"/>
          <w:szCs w:val="23"/>
        </w:rPr>
        <w:t xml:space="preserve"> COMMERCIALISTI</w:t>
      </w:r>
    </w:p>
    <w:p w14:paraId="6E98A6E9" w14:textId="77777777" w:rsidR="00794314" w:rsidRPr="00423660" w:rsidRDefault="00794314" w:rsidP="00A708E1">
      <w:pPr>
        <w:pStyle w:val="elementtoproof"/>
        <w:jc w:val="center"/>
        <w:rPr>
          <w:rFonts w:ascii="Arial" w:hAnsi="Arial" w:cs="Arial"/>
          <w:b/>
          <w:bCs/>
          <w:sz w:val="23"/>
          <w:szCs w:val="23"/>
        </w:rPr>
      </w:pPr>
    </w:p>
    <w:p w14:paraId="34966566" w14:textId="0A1984EF" w:rsidR="00794314" w:rsidRPr="00423660" w:rsidRDefault="00794314" w:rsidP="00794314">
      <w:pPr>
        <w:jc w:val="center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 w:rsidRPr="00423660">
        <w:rPr>
          <w:rFonts w:ascii="Arial" w:hAnsi="Arial" w:cs="Arial"/>
          <w:b/>
          <w:bCs/>
          <w:color w:val="000000"/>
          <w:sz w:val="23"/>
          <w:szCs w:val="23"/>
        </w:rPr>
        <w:t xml:space="preserve">Focus </w:t>
      </w:r>
      <w:r w:rsidR="0012362D" w:rsidRPr="00423660">
        <w:rPr>
          <w:rFonts w:ascii="Arial" w:hAnsi="Arial" w:cs="Arial"/>
          <w:b/>
          <w:bCs/>
          <w:color w:val="000000"/>
          <w:sz w:val="23"/>
          <w:szCs w:val="23"/>
        </w:rPr>
        <w:t>sulle</w:t>
      </w:r>
      <w:r w:rsidRPr="0042366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recenti Linee Guida EBA-GL Lom</w:t>
      </w:r>
      <w:r w:rsidR="0012362D" w:rsidRPr="0042366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relative a</w:t>
      </w:r>
      <w:r w:rsidRPr="0042366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concessione e monitoraggio dei prestiti</w:t>
      </w:r>
      <w:r w:rsidR="0012362D" w:rsidRPr="0042366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e sul</w:t>
      </w:r>
      <w:r w:rsidRPr="0042366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la nuova filosofia alla base del Codice della crisi e dell’insolvenza</w:t>
      </w:r>
    </w:p>
    <w:p w14:paraId="5FDBA616" w14:textId="77777777" w:rsidR="00423660" w:rsidRPr="00423660" w:rsidRDefault="00423660" w:rsidP="00A708E1">
      <w:pPr>
        <w:pStyle w:val="elementtoproof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08E94959" w14:textId="2D1FC654" w:rsidR="00E51BA8" w:rsidRDefault="00423660" w:rsidP="00A708E1">
      <w:pPr>
        <w:pStyle w:val="elementtoproof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423660">
        <w:rPr>
          <w:rFonts w:ascii="Arial" w:eastAsia="Times New Roman" w:hAnsi="Arial" w:cs="Arial"/>
          <w:b/>
          <w:bCs/>
          <w:sz w:val="23"/>
          <w:szCs w:val="23"/>
        </w:rPr>
        <w:t xml:space="preserve">I </w:t>
      </w:r>
      <w:r w:rsidRPr="00423660">
        <w:rPr>
          <w:rFonts w:ascii="Arial" w:eastAsia="Times New Roman" w:hAnsi="Arial" w:cs="Arial"/>
          <w:b/>
          <w:bCs/>
          <w:sz w:val="23"/>
          <w:szCs w:val="23"/>
        </w:rPr>
        <w:t xml:space="preserve">commercialisti </w:t>
      </w:r>
      <w:r>
        <w:rPr>
          <w:rFonts w:ascii="Arial" w:eastAsia="Times New Roman" w:hAnsi="Arial" w:cs="Arial"/>
          <w:b/>
          <w:bCs/>
          <w:sz w:val="23"/>
          <w:szCs w:val="23"/>
        </w:rPr>
        <w:t>favorirebbero</w:t>
      </w:r>
      <w:r w:rsidRPr="00423660">
        <w:rPr>
          <w:rFonts w:ascii="Arial" w:eastAsia="Times New Roman" w:hAnsi="Arial" w:cs="Arial"/>
          <w:b/>
          <w:bCs/>
          <w:sz w:val="23"/>
          <w:szCs w:val="23"/>
        </w:rPr>
        <w:t xml:space="preserve"> la crescita delle </w:t>
      </w:r>
      <w:r w:rsidRPr="00423660">
        <w:rPr>
          <w:rFonts w:ascii="Arial" w:eastAsia="Times New Roman" w:hAnsi="Arial" w:cs="Arial"/>
          <w:b/>
          <w:bCs/>
          <w:i/>
          <w:iCs/>
          <w:sz w:val="23"/>
          <w:szCs w:val="23"/>
        </w:rPr>
        <w:t>skills</w:t>
      </w:r>
      <w:r w:rsidRPr="00423660">
        <w:rPr>
          <w:rFonts w:ascii="Arial" w:eastAsia="Times New Roman" w:hAnsi="Arial" w:cs="Arial"/>
          <w:b/>
          <w:bCs/>
          <w:sz w:val="23"/>
          <w:szCs w:val="23"/>
        </w:rPr>
        <w:t xml:space="preserve"> interne all’impresa e agevolare il cambiamento culturale per affrontare le odierne sfide in modo più consapevole</w:t>
      </w:r>
    </w:p>
    <w:p w14:paraId="27E6E918" w14:textId="77777777" w:rsidR="00657FC4" w:rsidRPr="00423660" w:rsidRDefault="00657FC4" w:rsidP="00A708E1">
      <w:pPr>
        <w:pStyle w:val="elementtoproof"/>
        <w:jc w:val="center"/>
        <w:rPr>
          <w:rFonts w:ascii="Arial" w:hAnsi="Arial" w:cs="Arial"/>
          <w:b/>
          <w:bCs/>
          <w:sz w:val="23"/>
          <w:szCs w:val="23"/>
        </w:rPr>
      </w:pPr>
    </w:p>
    <w:p w14:paraId="78AF8EE1" w14:textId="77777777" w:rsidR="00E51BA8" w:rsidRPr="00BD5BA0" w:rsidRDefault="00E51BA8" w:rsidP="00A708E1">
      <w:pPr>
        <w:pStyle w:val="elementtoproof"/>
        <w:jc w:val="both"/>
        <w:rPr>
          <w:rFonts w:ascii="Arial" w:hAnsi="Arial" w:cs="Arial"/>
          <w:sz w:val="23"/>
          <w:szCs w:val="23"/>
        </w:rPr>
      </w:pPr>
    </w:p>
    <w:p w14:paraId="40AEF627" w14:textId="338EBB9E" w:rsidR="00A708E1" w:rsidRPr="00BD5BA0" w:rsidRDefault="00E51BA8" w:rsidP="00A708E1">
      <w:pPr>
        <w:pStyle w:val="NormaleWeb"/>
        <w:jc w:val="both"/>
        <w:rPr>
          <w:rFonts w:ascii="Arial" w:eastAsia="Times New Roman" w:hAnsi="Arial" w:cs="Arial"/>
          <w:sz w:val="23"/>
          <w:szCs w:val="23"/>
        </w:rPr>
      </w:pPr>
      <w:r w:rsidRPr="00BD5BA0">
        <w:rPr>
          <w:rFonts w:ascii="Arial" w:hAnsi="Arial" w:cs="Arial"/>
          <w:i/>
          <w:iCs/>
          <w:color w:val="000000"/>
          <w:sz w:val="23"/>
          <w:szCs w:val="23"/>
        </w:rPr>
        <w:t xml:space="preserve">Roma, </w:t>
      </w:r>
      <w:r w:rsidR="00A708E1" w:rsidRPr="00BD5BA0">
        <w:rPr>
          <w:rFonts w:ascii="Arial" w:hAnsi="Arial" w:cs="Arial"/>
          <w:i/>
          <w:iCs/>
          <w:color w:val="000000"/>
          <w:sz w:val="23"/>
          <w:szCs w:val="23"/>
        </w:rPr>
        <w:t xml:space="preserve">6 </w:t>
      </w:r>
      <w:r w:rsidRPr="00BD5BA0">
        <w:rPr>
          <w:rFonts w:ascii="Arial" w:hAnsi="Arial" w:cs="Arial"/>
          <w:i/>
          <w:iCs/>
          <w:color w:val="000000"/>
          <w:sz w:val="23"/>
          <w:szCs w:val="23"/>
        </w:rPr>
        <w:t>novembre 2023 -</w:t>
      </w:r>
      <w:r w:rsidRPr="00BD5BA0">
        <w:rPr>
          <w:rFonts w:ascii="Arial" w:hAnsi="Arial" w:cs="Arial"/>
          <w:color w:val="000000"/>
          <w:sz w:val="23"/>
          <w:szCs w:val="23"/>
        </w:rPr>
        <w:t> </w:t>
      </w:r>
      <w:r w:rsidR="00A708E1" w:rsidRPr="00BD5BA0">
        <w:rPr>
          <w:rFonts w:ascii="Arial" w:eastAsia="Times New Roman" w:hAnsi="Arial" w:cs="Arial"/>
          <w:sz w:val="23"/>
          <w:szCs w:val="23"/>
        </w:rPr>
        <w:t>"</w:t>
      </w:r>
      <w:r w:rsidR="00A708E1" w:rsidRPr="00BD5BA0">
        <w:rPr>
          <w:rFonts w:ascii="Arial" w:eastAsia="Times New Roman" w:hAnsi="Arial" w:cs="Arial"/>
          <w:b/>
          <w:bCs/>
          <w:sz w:val="23"/>
          <w:szCs w:val="23"/>
        </w:rPr>
        <w:t>L’informativa economico-finanziaria e la bancabilità delle PMI: indicazioni EBA-GL Lom e spunti operativi</w:t>
      </w:r>
      <w:r w:rsidR="00A708E1" w:rsidRPr="00BD5BA0">
        <w:rPr>
          <w:rFonts w:ascii="Arial" w:eastAsia="Times New Roman" w:hAnsi="Arial" w:cs="Arial"/>
          <w:sz w:val="23"/>
          <w:szCs w:val="23"/>
        </w:rPr>
        <w:t>" è il titolo del documento pubblicato dal Consiglio e dalla Fondazione Nazionale - Ricerca dei Commercialisti, curato dalla Commissione di studio "</w:t>
      </w:r>
      <w:r w:rsidR="00A708E1" w:rsidRPr="00BD5BA0">
        <w:rPr>
          <w:rFonts w:ascii="Arial" w:eastAsia="Times New Roman" w:hAnsi="Arial" w:cs="Arial"/>
          <w:b/>
          <w:bCs/>
          <w:sz w:val="23"/>
          <w:szCs w:val="23"/>
        </w:rPr>
        <w:t>Finanza reporting</w:t>
      </w:r>
      <w:r w:rsidR="00A708E1" w:rsidRPr="00BD5BA0">
        <w:rPr>
          <w:rFonts w:ascii="Arial" w:eastAsia="Times New Roman" w:hAnsi="Arial" w:cs="Arial"/>
          <w:sz w:val="23"/>
          <w:szCs w:val="23"/>
        </w:rPr>
        <w:t>" nell</w:t>
      </w:r>
      <w:r w:rsidR="0012362D" w:rsidRPr="00BD5BA0">
        <w:rPr>
          <w:rFonts w:ascii="Arial" w:eastAsia="Times New Roman" w:hAnsi="Arial" w:cs="Arial"/>
          <w:sz w:val="23"/>
          <w:szCs w:val="23"/>
        </w:rPr>
        <w:t>’</w:t>
      </w:r>
      <w:r w:rsidR="00A708E1" w:rsidRPr="00BD5BA0">
        <w:rPr>
          <w:rFonts w:ascii="Arial" w:eastAsia="Times New Roman" w:hAnsi="Arial" w:cs="Arial"/>
          <w:sz w:val="23"/>
          <w:szCs w:val="23"/>
        </w:rPr>
        <w:t>ambito dell</w:t>
      </w:r>
      <w:r w:rsidR="0012362D" w:rsidRPr="00BD5BA0">
        <w:rPr>
          <w:rFonts w:ascii="Arial" w:eastAsia="Times New Roman" w:hAnsi="Arial" w:cs="Arial"/>
          <w:sz w:val="23"/>
          <w:szCs w:val="23"/>
        </w:rPr>
        <w:t>’</w:t>
      </w:r>
      <w:r w:rsidR="00A708E1" w:rsidRPr="00BD5BA0">
        <w:rPr>
          <w:rFonts w:ascii="Arial" w:eastAsia="Times New Roman" w:hAnsi="Arial" w:cs="Arial"/>
          <w:sz w:val="23"/>
          <w:szCs w:val="23"/>
        </w:rPr>
        <w:t xml:space="preserve">area di delega "Finanza aziendale" del consigliere </w:t>
      </w:r>
      <w:r w:rsidR="00A708E1" w:rsidRPr="00BD5BA0">
        <w:rPr>
          <w:rFonts w:ascii="Arial" w:eastAsia="Times New Roman" w:hAnsi="Arial" w:cs="Arial"/>
          <w:b/>
          <w:bCs/>
          <w:sz w:val="23"/>
          <w:szCs w:val="23"/>
        </w:rPr>
        <w:t>Antonio Repaci</w:t>
      </w:r>
      <w:r w:rsidR="00A708E1" w:rsidRPr="00BD5BA0">
        <w:rPr>
          <w:rFonts w:ascii="Arial" w:eastAsia="Times New Roman" w:hAnsi="Arial" w:cs="Arial"/>
          <w:sz w:val="23"/>
          <w:szCs w:val="23"/>
        </w:rPr>
        <w:t>.</w:t>
      </w:r>
    </w:p>
    <w:p w14:paraId="52281C8B" w14:textId="77777777" w:rsidR="00A708E1" w:rsidRPr="00BD5BA0" w:rsidRDefault="00A708E1" w:rsidP="00A708E1">
      <w:pPr>
        <w:pStyle w:val="NormaleWeb"/>
        <w:jc w:val="both"/>
        <w:rPr>
          <w:rFonts w:ascii="Arial" w:eastAsia="Times New Roman" w:hAnsi="Arial" w:cs="Arial"/>
          <w:sz w:val="23"/>
          <w:szCs w:val="23"/>
        </w:rPr>
      </w:pPr>
    </w:p>
    <w:p w14:paraId="132604D9" w14:textId="7A2FB4C9" w:rsidR="00A708E1" w:rsidRPr="00BD5BA0" w:rsidRDefault="00A708E1" w:rsidP="00A708E1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Il documento si focalizza sulla necessità dell’elaborazione di </w:t>
      </w:r>
      <w:r w:rsidRPr="00BD5BA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un’adeguata informativa economico-finanziaria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, storica e prospettica, qualitativa e quantitativa, </w:t>
      </w:r>
      <w:r w:rsidRPr="00BD5BA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da parte dell’impresa</w:t>
      </w:r>
      <w:r w:rsidR="00794314" w:rsidRPr="00BD5BA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alla luce della nuova forma di rapporto banca-impresa prospettata dalle </w:t>
      </w:r>
      <w:r w:rsidRPr="00BD5BA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recenti Linee Guida EBA-GL Lom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(</w:t>
      </w:r>
      <w:r w:rsidRPr="00BD5BA0">
        <w:rPr>
          <w:rFonts w:ascii="Arial" w:eastAsia="Times New Roman" w:hAnsi="Arial" w:cs="Arial"/>
          <w:i/>
          <w:iCs/>
          <w:sz w:val="23"/>
          <w:szCs w:val="23"/>
          <w:lang w:eastAsia="it-IT"/>
        </w:rPr>
        <w:t xml:space="preserve">Guidelines on </w:t>
      </w:r>
      <w:proofErr w:type="spellStart"/>
      <w:r w:rsidRPr="00BD5BA0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loan</w:t>
      </w:r>
      <w:proofErr w:type="spellEnd"/>
      <w:r w:rsidRPr="00BD5BA0">
        <w:rPr>
          <w:rFonts w:ascii="Arial" w:eastAsia="Times New Roman" w:hAnsi="Arial" w:cs="Arial"/>
          <w:i/>
          <w:iCs/>
          <w:sz w:val="23"/>
          <w:szCs w:val="23"/>
          <w:lang w:eastAsia="it-IT"/>
        </w:rPr>
        <w:t xml:space="preserve"> </w:t>
      </w:r>
      <w:proofErr w:type="spellStart"/>
      <w:r w:rsidRPr="00BD5BA0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origination</w:t>
      </w:r>
      <w:proofErr w:type="spellEnd"/>
      <w:r w:rsidRPr="00BD5BA0">
        <w:rPr>
          <w:rFonts w:ascii="Arial" w:eastAsia="Times New Roman" w:hAnsi="Arial" w:cs="Arial"/>
          <w:i/>
          <w:iCs/>
          <w:sz w:val="23"/>
          <w:szCs w:val="23"/>
          <w:lang w:eastAsia="it-IT"/>
        </w:rPr>
        <w:t xml:space="preserve"> and monitoring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>) relative alla concessione e al monitoraggio dei prestiti, nonché della</w:t>
      </w:r>
      <w:r w:rsidRPr="00BD5BA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nuova filosofia alla base del Codice della crisi e dell’insolvenza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. </w:t>
      </w:r>
    </w:p>
    <w:p w14:paraId="77E98BB2" w14:textId="77777777" w:rsidR="00A708E1" w:rsidRPr="00BD5BA0" w:rsidRDefault="00A708E1" w:rsidP="00A708E1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3494A1AB" w14:textId="3D5D3021" w:rsidR="00A708E1" w:rsidRPr="00BD5BA0" w:rsidRDefault="00A708E1" w:rsidP="00A708E1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Al riguardo, le realtà imprenditoriali sono chiamate a strutturarsi per pianificare e programmare al meglio le proprie attività operative, dotandosi di </w:t>
      </w:r>
      <w:r w:rsidRPr="00BD5BA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strumenti adeguati alla propria natura e dimensione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, andando oltre il mero dettato della normativa civilistica e superando gli obblighi legati ai soli adempimenti previsti dal regime contabile e fiscale dall’impresa. In seguito alle novità regolamentari e legislative introdotte nel corso degli ultimi anni, infatti, è emersa in maniera sempre più significativa la </w:t>
      </w:r>
      <w:r w:rsidRPr="004843EE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necessità di una visione </w:t>
      </w:r>
      <w:proofErr w:type="spellStart"/>
      <w:r w:rsidRPr="004843EE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forward-looking</w:t>
      </w:r>
      <w:proofErr w:type="spellEnd"/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e di un monitoraggio costante e più ampio delle dinamiche aziendali che richiede a tutti gli imprenditori l’elaborazione di bilanci </w:t>
      </w:r>
      <w:proofErr w:type="spellStart"/>
      <w:r w:rsidRPr="00BD5BA0">
        <w:rPr>
          <w:rFonts w:ascii="Arial" w:eastAsia="Times New Roman" w:hAnsi="Arial" w:cs="Arial"/>
          <w:sz w:val="23"/>
          <w:szCs w:val="23"/>
          <w:lang w:eastAsia="it-IT"/>
        </w:rPr>
        <w:t>infrannuali</w:t>
      </w:r>
      <w:proofErr w:type="spellEnd"/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, </w:t>
      </w:r>
      <w:r w:rsidRPr="00BD5BA0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budget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e </w:t>
      </w:r>
      <w:r w:rsidRPr="00BD5BA0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business plan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>, ampliando costantemente le informazioni da veicolare agli interlocutori del sistema finanziario.</w:t>
      </w:r>
    </w:p>
    <w:p w14:paraId="76187B95" w14:textId="77777777" w:rsidR="00A708E1" w:rsidRPr="00BD5BA0" w:rsidRDefault="00A708E1" w:rsidP="00A708E1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450AF6BC" w14:textId="4BFB1C2E" w:rsidR="00A708E1" w:rsidRPr="00BD5BA0" w:rsidRDefault="00A708E1" w:rsidP="00A708E1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Attraverso l’elaborazione e la comunicazione di un adeguato </w:t>
      </w:r>
      <w:r w:rsidRPr="00BD5BA0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set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informativo, che comprenda elementi economico-finanziari di tipo quantitativo, oltre a indicazioni qualitative, sarà dunque possibile </w:t>
      </w:r>
      <w:r w:rsidRPr="00BD5BA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rafforzare il rapporto banca-impresa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, </w:t>
      </w:r>
      <w:r w:rsidRPr="00BD5BA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migliorando l’accesso al credito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e il costo della provvista finanziaria grazie a</w:t>
      </w:r>
      <w:r w:rsidR="004843EE">
        <w:rPr>
          <w:rFonts w:ascii="Arial" w:eastAsia="Times New Roman" w:hAnsi="Arial" w:cs="Arial"/>
          <w:sz w:val="23"/>
          <w:szCs w:val="23"/>
          <w:lang w:eastAsia="it-IT"/>
        </w:rPr>
        <w:t>d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una riduzione delle asimmetrie informative che spesso minano il rapporto tra l’azienda e i suoi </w:t>
      </w:r>
      <w:r w:rsidRPr="00BD5BA0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stakeholder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>.</w:t>
      </w:r>
    </w:p>
    <w:p w14:paraId="53975C32" w14:textId="77777777" w:rsidR="00A708E1" w:rsidRPr="00BD5BA0" w:rsidRDefault="00A708E1" w:rsidP="00A708E1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50A86D6D" w14:textId="25FD11DD" w:rsidR="00A708E1" w:rsidRPr="00BD5BA0" w:rsidRDefault="00A708E1" w:rsidP="00A708E1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Nel corso del recente passato, l’evoluzione del contesto socioeconomico nazionale e internazionale ha inciso significativamente sul tessuto produttivo del sistema Paese, rendendo sempre più necessaria un’evoluzione delle relazioni tra gli operatori. La richiesta di maggior trasparenza nei rapporti tra le parti e di una conseguente riduzione delle asimmetrie informative per rendere più efficiente il funzionamento dei mercati richiedono a tutti gli attori coinvolti un </w:t>
      </w:r>
      <w:r w:rsidRPr="00BD5BA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mutamento culturale per porre in atto una gestione proattiva dei rischi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con l’obiettivo </w:t>
      </w:r>
      <w:r w:rsidRPr="00982135">
        <w:rPr>
          <w:rFonts w:ascii="Arial" w:eastAsia="Times New Roman" w:hAnsi="Arial" w:cs="Arial"/>
          <w:sz w:val="23"/>
          <w:szCs w:val="23"/>
          <w:lang w:eastAsia="it-IT"/>
        </w:rPr>
        <w:t>di rendere più solido e resiliente il sistema finanziario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al manifestarsi di eventuali future crisi. </w:t>
      </w:r>
    </w:p>
    <w:p w14:paraId="7A52B6E5" w14:textId="77777777" w:rsidR="00A708E1" w:rsidRPr="00BD5BA0" w:rsidRDefault="00A708E1" w:rsidP="00A708E1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66B84667" w14:textId="3F745ED3" w:rsidR="00A708E1" w:rsidRPr="00BD5BA0" w:rsidRDefault="00A708E1" w:rsidP="00A708E1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BD5BA0">
        <w:rPr>
          <w:rFonts w:ascii="Arial" w:eastAsia="Times New Roman" w:hAnsi="Arial" w:cs="Arial"/>
          <w:sz w:val="23"/>
          <w:szCs w:val="23"/>
          <w:lang w:eastAsia="it-IT"/>
        </w:rPr>
        <w:lastRenderedPageBreak/>
        <w:t xml:space="preserve">In </w:t>
      </w:r>
      <w:r w:rsidR="00982135">
        <w:rPr>
          <w:rFonts w:ascii="Arial" w:eastAsia="Times New Roman" w:hAnsi="Arial" w:cs="Arial"/>
          <w:sz w:val="23"/>
          <w:szCs w:val="23"/>
          <w:lang w:eastAsia="it-IT"/>
        </w:rPr>
        <w:t>tale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contesto, </w:t>
      </w:r>
      <w:r w:rsidRPr="0042366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i commercialisti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, </w:t>
      </w:r>
      <w:r w:rsidR="00982F33"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che forniscono agli imprenditori 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>un’ampia consulenza in ambit</w:t>
      </w:r>
      <w:r w:rsidR="00982F33" w:rsidRPr="00BD5BA0">
        <w:rPr>
          <w:rFonts w:ascii="Arial" w:eastAsia="Times New Roman" w:hAnsi="Arial" w:cs="Arial"/>
          <w:sz w:val="23"/>
          <w:szCs w:val="23"/>
          <w:lang w:eastAsia="it-IT"/>
        </w:rPr>
        <w:t>o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fiscale, giuridico e finanziario, </w:t>
      </w:r>
      <w:r w:rsidRPr="0042366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potrebbero favorire la crescita delle </w:t>
      </w:r>
      <w:r w:rsidRPr="00423660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skills</w:t>
      </w:r>
      <w:r w:rsidRPr="0042366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interne all’impresa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e </w:t>
      </w:r>
      <w:r w:rsidRPr="0042366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agevolare il necessario cambiamento culturale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per affrontare le odierne sfide in modo più consapevole e con un’adeguata preparazione, soprattutto in ambito finanziario. Attualmente, è imprescindibile approfondire e comprendere al meglio gli effetti delle nuove regole bancarie sul rapporto banca-impresa. Il sostegno finanziario degli intermediari</w:t>
      </w:r>
      <w:r w:rsidR="00982F33"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, 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>infatti,</w:t>
      </w:r>
      <w:r w:rsidR="00982F33"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è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spesso determinante sia in fase di avvio dell’iniziativa imprenditoriale </w:t>
      </w:r>
      <w:r w:rsidR="00982F33" w:rsidRPr="00BD5BA0">
        <w:rPr>
          <w:rFonts w:ascii="Arial" w:eastAsia="Times New Roman" w:hAnsi="Arial" w:cs="Arial"/>
          <w:sz w:val="23"/>
          <w:szCs w:val="23"/>
          <w:lang w:eastAsia="it-IT"/>
        </w:rPr>
        <w:t>che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nel corso dello sviluppo e </w:t>
      </w:r>
      <w:r w:rsidR="00982F33"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della 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>crescita dell’impresa</w:t>
      </w:r>
      <w:r w:rsidR="00982F33" w:rsidRPr="00BD5BA0">
        <w:rPr>
          <w:rFonts w:ascii="Arial" w:eastAsia="Times New Roman" w:hAnsi="Arial" w:cs="Arial"/>
          <w:sz w:val="23"/>
          <w:szCs w:val="23"/>
          <w:lang w:eastAsia="it-IT"/>
        </w:rPr>
        <w:t xml:space="preserve"> oltre che </w:t>
      </w:r>
      <w:r w:rsidRPr="00BD5BA0">
        <w:rPr>
          <w:rFonts w:ascii="Arial" w:eastAsia="Times New Roman" w:hAnsi="Arial" w:cs="Arial"/>
          <w:sz w:val="23"/>
          <w:szCs w:val="23"/>
          <w:lang w:eastAsia="it-IT"/>
        </w:rPr>
        <w:t>per una negoziazione efficace in caso di necessità di risanamento.</w:t>
      </w:r>
    </w:p>
    <w:p w14:paraId="1EE450BB" w14:textId="3D82616D" w:rsidR="004F0506" w:rsidRPr="00A708E1" w:rsidRDefault="004F0506" w:rsidP="00A708E1">
      <w:pPr>
        <w:pStyle w:val="NormaleWeb"/>
        <w:jc w:val="both"/>
        <w:rPr>
          <w:rFonts w:ascii="Arial" w:hAnsi="Arial" w:cs="Arial"/>
        </w:rPr>
      </w:pPr>
    </w:p>
    <w:sectPr w:rsidR="004F0506" w:rsidRPr="00A708E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6FC9" w14:textId="77777777" w:rsidR="00915F4E" w:rsidRDefault="00915F4E" w:rsidP="00A25D50">
      <w:r>
        <w:separator/>
      </w:r>
    </w:p>
  </w:endnote>
  <w:endnote w:type="continuationSeparator" w:id="0">
    <w:p w14:paraId="15027134" w14:textId="77777777" w:rsidR="00915F4E" w:rsidRDefault="00915F4E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7A7D" w14:textId="77777777" w:rsidR="00915F4E" w:rsidRDefault="00915F4E" w:rsidP="00A25D50">
      <w:r>
        <w:separator/>
      </w:r>
    </w:p>
  </w:footnote>
  <w:footnote w:type="continuationSeparator" w:id="0">
    <w:p w14:paraId="0995D446" w14:textId="77777777" w:rsidR="00915F4E" w:rsidRDefault="00915F4E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2A0173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5E4D"/>
    <w:rsid w:val="00041437"/>
    <w:rsid w:val="000435B0"/>
    <w:rsid w:val="00055C12"/>
    <w:rsid w:val="0009108B"/>
    <w:rsid w:val="000E2AE6"/>
    <w:rsid w:val="000F1CA8"/>
    <w:rsid w:val="0012362D"/>
    <w:rsid w:val="00136CF7"/>
    <w:rsid w:val="001447D0"/>
    <w:rsid w:val="00164C51"/>
    <w:rsid w:val="00184888"/>
    <w:rsid w:val="001E4EF0"/>
    <w:rsid w:val="0020469F"/>
    <w:rsid w:val="00237EC9"/>
    <w:rsid w:val="00243F31"/>
    <w:rsid w:val="002A0173"/>
    <w:rsid w:val="002A46B8"/>
    <w:rsid w:val="002B687E"/>
    <w:rsid w:val="003002C5"/>
    <w:rsid w:val="00305946"/>
    <w:rsid w:val="00333A0F"/>
    <w:rsid w:val="00365441"/>
    <w:rsid w:val="003771AB"/>
    <w:rsid w:val="00382DCB"/>
    <w:rsid w:val="00394F50"/>
    <w:rsid w:val="003A2DAE"/>
    <w:rsid w:val="003A73E6"/>
    <w:rsid w:val="003E3AB2"/>
    <w:rsid w:val="00423660"/>
    <w:rsid w:val="00463C7D"/>
    <w:rsid w:val="004843EE"/>
    <w:rsid w:val="004C59E2"/>
    <w:rsid w:val="004E3EC6"/>
    <w:rsid w:val="004F0506"/>
    <w:rsid w:val="0050036C"/>
    <w:rsid w:val="005135B9"/>
    <w:rsid w:val="00513CFB"/>
    <w:rsid w:val="0053620E"/>
    <w:rsid w:val="005503BE"/>
    <w:rsid w:val="00561CB7"/>
    <w:rsid w:val="005E4FD0"/>
    <w:rsid w:val="006150FC"/>
    <w:rsid w:val="00657FC4"/>
    <w:rsid w:val="00685BF9"/>
    <w:rsid w:val="006B5515"/>
    <w:rsid w:val="006C090E"/>
    <w:rsid w:val="00733833"/>
    <w:rsid w:val="00740F1F"/>
    <w:rsid w:val="007451A9"/>
    <w:rsid w:val="00772CD8"/>
    <w:rsid w:val="007840AA"/>
    <w:rsid w:val="00794314"/>
    <w:rsid w:val="007A1617"/>
    <w:rsid w:val="007C2A85"/>
    <w:rsid w:val="0080228B"/>
    <w:rsid w:val="00803B21"/>
    <w:rsid w:val="00843381"/>
    <w:rsid w:val="00883612"/>
    <w:rsid w:val="008A1BA8"/>
    <w:rsid w:val="008B3982"/>
    <w:rsid w:val="008E2D18"/>
    <w:rsid w:val="008F01F8"/>
    <w:rsid w:val="00901181"/>
    <w:rsid w:val="00904442"/>
    <w:rsid w:val="00915F4E"/>
    <w:rsid w:val="009679A1"/>
    <w:rsid w:val="009726DC"/>
    <w:rsid w:val="00982135"/>
    <w:rsid w:val="00982F33"/>
    <w:rsid w:val="009D18CC"/>
    <w:rsid w:val="009D2456"/>
    <w:rsid w:val="00A23A10"/>
    <w:rsid w:val="00A25D50"/>
    <w:rsid w:val="00A26119"/>
    <w:rsid w:val="00A41325"/>
    <w:rsid w:val="00A708E1"/>
    <w:rsid w:val="00A74AA6"/>
    <w:rsid w:val="00A91480"/>
    <w:rsid w:val="00AE049F"/>
    <w:rsid w:val="00AE2F64"/>
    <w:rsid w:val="00AE2FF1"/>
    <w:rsid w:val="00AE5D03"/>
    <w:rsid w:val="00B154FD"/>
    <w:rsid w:val="00B2654F"/>
    <w:rsid w:val="00B623C7"/>
    <w:rsid w:val="00B951E3"/>
    <w:rsid w:val="00BD5BA0"/>
    <w:rsid w:val="00C02DCB"/>
    <w:rsid w:val="00C17FC9"/>
    <w:rsid w:val="00C20913"/>
    <w:rsid w:val="00C82382"/>
    <w:rsid w:val="00C8448F"/>
    <w:rsid w:val="00C84922"/>
    <w:rsid w:val="00C87780"/>
    <w:rsid w:val="00C94DBB"/>
    <w:rsid w:val="00CE4A05"/>
    <w:rsid w:val="00CF1A1C"/>
    <w:rsid w:val="00D742E0"/>
    <w:rsid w:val="00D8383C"/>
    <w:rsid w:val="00D86F1A"/>
    <w:rsid w:val="00DB0771"/>
    <w:rsid w:val="00DE7244"/>
    <w:rsid w:val="00E4100D"/>
    <w:rsid w:val="00E45B9A"/>
    <w:rsid w:val="00E51BA8"/>
    <w:rsid w:val="00E80398"/>
    <w:rsid w:val="00EB0A43"/>
    <w:rsid w:val="00F21C61"/>
    <w:rsid w:val="00F45169"/>
    <w:rsid w:val="00F54D2A"/>
    <w:rsid w:val="00F5789E"/>
    <w:rsid w:val="00F70F2A"/>
    <w:rsid w:val="00F82C59"/>
    <w:rsid w:val="00F910CC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e"/>
    <w:rsid w:val="008433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E51BA8"/>
    <w:rPr>
      <w:rFonts w:ascii="Calibri" w:hAnsi="Calibri" w:cs="Calibri"/>
      <w:lang w:eastAsia="it-IT"/>
    </w:rPr>
  </w:style>
  <w:style w:type="paragraph" w:customStyle="1" w:styleId="elementtoproof">
    <w:name w:val="elementtoproof"/>
    <w:basedOn w:val="Normale"/>
    <w:uiPriority w:val="99"/>
    <w:semiHidden/>
    <w:rsid w:val="00E51BA8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70458c-546d-4d4c-ae5a-697836fed8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4BFBAFC5F04488A0A5E23BAE590F0" ma:contentTypeVersion="15" ma:contentTypeDescription="Creare un nuovo documento." ma:contentTypeScope="" ma:versionID="6ddb16c273ea6c0b9d5ee7f10efa5a1d">
  <xsd:schema xmlns:xsd="http://www.w3.org/2001/XMLSchema" xmlns:xs="http://www.w3.org/2001/XMLSchema" xmlns:p="http://schemas.microsoft.com/office/2006/metadata/properties" xmlns:ns3="3770458c-546d-4d4c-ae5a-697836fed826" xmlns:ns4="a1121406-cf3e-405a-b6de-9c2ead457988" targetNamespace="http://schemas.microsoft.com/office/2006/metadata/properties" ma:root="true" ma:fieldsID="120bd2dba48a7f37216aa77bc31aeb6b" ns3:_="" ns4:_="">
    <xsd:import namespace="3770458c-546d-4d4c-ae5a-697836fed826"/>
    <xsd:import namespace="a1121406-cf3e-405a-b6de-9c2ead4579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458c-546d-4d4c-ae5a-697836fed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21406-cf3e-405a-b6de-9c2ead457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4CA59-C236-452D-ADEB-5F9C37947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EFDF4-FEE2-4025-93B6-C048EDF3F1B4}">
  <ds:schemaRefs>
    <ds:schemaRef ds:uri="http://schemas.microsoft.com/office/2006/metadata/properties"/>
    <ds:schemaRef ds:uri="http://schemas.microsoft.com/office/infopath/2007/PartnerControls"/>
    <ds:schemaRef ds:uri="3770458c-546d-4d4c-ae5a-697836fed826"/>
  </ds:schemaRefs>
</ds:datastoreItem>
</file>

<file path=customXml/itemProps3.xml><?xml version="1.0" encoding="utf-8"?>
<ds:datastoreItem xmlns:ds="http://schemas.openxmlformats.org/officeDocument/2006/customXml" ds:itemID="{2191D420-847A-4208-B842-A396D31CA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0458c-546d-4d4c-ae5a-697836fed826"/>
    <ds:schemaRef ds:uri="a1121406-cf3e-405a-b6de-9c2ead45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cp:lastPrinted>2023-11-06T11:16:00Z</cp:lastPrinted>
  <dcterms:created xsi:type="dcterms:W3CDTF">2023-11-02T11:04:00Z</dcterms:created>
  <dcterms:modified xsi:type="dcterms:W3CDTF">2023-11-06T11:28:00Z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0x01010099A4BFBAFC5F04488A0A5E23BAE590F0</vt:lpwstr>
  </property>
</Properties>
</file>