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F196D" w14:textId="77777777" w:rsidR="00DB5357" w:rsidRDefault="00DB5357" w:rsidP="00DB5357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0" w:name="OLE_LINK1"/>
      <w:r>
        <w:rPr>
          <w:rFonts w:ascii="Arial" w:hAnsi="Arial" w:cs="Arial"/>
          <w:color w:val="000000"/>
        </w:rPr>
        <w:t>Comunicato stampa</w:t>
      </w:r>
      <w:bookmarkStart w:id="1" w:name="OLE_LINK2"/>
      <w:bookmarkEnd w:id="0"/>
      <w:bookmarkEnd w:id="1"/>
    </w:p>
    <w:p w14:paraId="6DC70E19" w14:textId="77777777" w:rsidR="00DB5357" w:rsidRDefault="00DB5357" w:rsidP="00DB5357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CE5C234" w14:textId="1D0F4497" w:rsidR="00DB5357" w:rsidRDefault="00DB5357" w:rsidP="00DB5357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rStyle w:val="bumpedfont15"/>
          <w:rFonts w:ascii="Arial" w:hAnsi="Arial" w:cs="Arial"/>
          <w:b/>
          <w:bCs/>
          <w:color w:val="000000"/>
        </w:rPr>
        <w:t>COMMERCIALISTI: USARE FONDI UE PER UN SUPERBONUS CAPITALIZZAZIONE IMPRESE</w:t>
      </w:r>
      <w:r>
        <w:rPr>
          <w:rFonts w:ascii="Arial" w:hAnsi="Arial" w:cs="Arial"/>
          <w:color w:val="000000"/>
        </w:rPr>
        <w:t> </w:t>
      </w:r>
    </w:p>
    <w:p w14:paraId="7F3B6845" w14:textId="77777777" w:rsidR="00DB5357" w:rsidRDefault="00DB5357" w:rsidP="00DB5357">
      <w:pPr>
        <w:pStyle w:val="s17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La categoria in audizione al Senato: </w:t>
      </w:r>
      <w:r>
        <w:rPr>
          <w:rStyle w:val="bumpedfont15"/>
          <w:rFonts w:ascii="Arial" w:hAnsi="Arial" w:cs="Arial"/>
          <w:b/>
          <w:bCs/>
          <w:color w:val="000000"/>
        </w:rPr>
        <w:t xml:space="preserve">“Sarebbe il modo migliore per attuare una scelta </w:t>
      </w:r>
      <w:proofErr w:type="spellStart"/>
      <w:r>
        <w:rPr>
          <w:rStyle w:val="bumpedfont15"/>
          <w:rFonts w:ascii="Arial" w:hAnsi="Arial" w:cs="Arial"/>
          <w:b/>
          <w:bCs/>
          <w:color w:val="000000"/>
        </w:rPr>
        <w:t>win-win</w:t>
      </w:r>
      <w:proofErr w:type="spellEnd"/>
      <w:r>
        <w:rPr>
          <w:rStyle w:val="bumpedfont15"/>
          <w:rFonts w:ascii="Arial" w:hAnsi="Arial" w:cs="Arial"/>
          <w:b/>
          <w:bCs/>
          <w:color w:val="000000"/>
        </w:rPr>
        <w:t xml:space="preserve"> privato-pubblico, che tutela sia lo Stato che le imprese”</w:t>
      </w:r>
      <w:r>
        <w:rPr>
          <w:rFonts w:ascii="Arial" w:hAnsi="Arial" w:cs="Arial"/>
          <w:b/>
          <w:bCs/>
          <w:color w:val="000000"/>
        </w:rPr>
        <w:t> </w:t>
      </w:r>
    </w:p>
    <w:p w14:paraId="03D9B246" w14:textId="326DAE6D" w:rsidR="00DB5357" w:rsidRDefault="00DB5357" w:rsidP="00DB5357">
      <w:pPr>
        <w:pStyle w:val="s17"/>
        <w:spacing w:before="0" w:beforeAutospacing="0" w:after="0" w:afterAutospacing="0"/>
        <w:jc w:val="both"/>
        <w:rPr>
          <w:rStyle w:val="bumpedfont15"/>
          <w:rFonts w:ascii="Arial" w:hAnsi="Arial" w:cs="Arial"/>
          <w:color w:val="000000"/>
          <w:sz w:val="21"/>
          <w:szCs w:val="21"/>
        </w:rPr>
      </w:pPr>
    </w:p>
    <w:p w14:paraId="34C94F7C" w14:textId="77777777" w:rsidR="00DB5357" w:rsidRPr="00DB5357" w:rsidRDefault="00DB5357" w:rsidP="00DB5357">
      <w:pPr>
        <w:pStyle w:val="s17"/>
        <w:spacing w:before="0" w:beforeAutospacing="0" w:after="0" w:afterAutospacing="0"/>
        <w:jc w:val="both"/>
        <w:rPr>
          <w:rStyle w:val="bumpedfont15"/>
          <w:rFonts w:ascii="Arial" w:hAnsi="Arial" w:cs="Arial"/>
          <w:color w:val="000000"/>
          <w:sz w:val="21"/>
          <w:szCs w:val="21"/>
        </w:rPr>
      </w:pPr>
    </w:p>
    <w:p w14:paraId="435B66A4" w14:textId="0874CC99" w:rsidR="00DB5357" w:rsidRPr="00DB5357" w:rsidRDefault="00DB5357" w:rsidP="00DB5357">
      <w:pPr>
        <w:pStyle w:val="s17"/>
        <w:spacing w:before="0" w:beforeAutospacing="0" w:after="0" w:afterAutospacing="0"/>
        <w:jc w:val="both"/>
        <w:rPr>
          <w:rStyle w:val="bumpedfont15"/>
          <w:rFonts w:ascii="Arial" w:hAnsi="Arial" w:cs="Arial"/>
          <w:color w:val="000000"/>
          <w:sz w:val="21"/>
          <w:szCs w:val="21"/>
        </w:rPr>
      </w:pPr>
      <w:r w:rsidRPr="00DB5357">
        <w:rPr>
          <w:rStyle w:val="bumpedfont15"/>
          <w:rFonts w:ascii="Arial" w:hAnsi="Arial" w:cs="Arial"/>
          <w:i/>
          <w:iCs/>
          <w:color w:val="000000"/>
          <w:sz w:val="21"/>
          <w:szCs w:val="21"/>
        </w:rPr>
        <w:t>Roma, 6 novembre 2020 –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 “Nel Documento</w:t>
      </w:r>
      <w:r w:rsidRPr="00DB5357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Programmatico</w:t>
      </w:r>
      <w:r w:rsidRPr="00DB5357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di</w:t>
      </w:r>
      <w:r w:rsidRPr="00DB5357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Bilancio</w:t>
      </w:r>
      <w:r w:rsidRPr="00DB5357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2021, il Governo stima di incassare tra il 2021 e il 2026 sovvenzioni UE a fondo perduto per 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complessivi 65,4 miliardi di euro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.</w:t>
      </w:r>
      <w:r w:rsidRPr="00DB5357">
        <w:rPr>
          <w:rFonts w:ascii="Arial" w:hAnsi="Arial" w:cs="Arial"/>
          <w:color w:val="000000"/>
          <w:sz w:val="21"/>
          <w:szCs w:val="21"/>
        </w:rPr>
        <w:t xml:space="preserve"> 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Appare cruciale che una fetta rilevante venga dedicata al 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sostegno degli investimenti privati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, nella forma di 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incentivi alla capitalizzazione del sistema delle imprese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”.</w:t>
      </w:r>
    </w:p>
    <w:p w14:paraId="6DF38065" w14:textId="77777777" w:rsidR="00DB5357" w:rsidRPr="00DB5357" w:rsidRDefault="00DB5357" w:rsidP="00DB5357">
      <w:pPr>
        <w:pStyle w:val="s17"/>
        <w:spacing w:before="0" w:beforeAutospacing="0" w:after="0" w:afterAutospacing="0"/>
        <w:jc w:val="both"/>
        <w:rPr>
          <w:rStyle w:val="bumpedfont15"/>
          <w:rFonts w:ascii="Arial" w:hAnsi="Arial" w:cs="Arial"/>
          <w:color w:val="000000"/>
          <w:sz w:val="21"/>
          <w:szCs w:val="21"/>
        </w:rPr>
      </w:pPr>
    </w:p>
    <w:p w14:paraId="0083B78B" w14:textId="5198CCBE" w:rsidR="00DB5357" w:rsidRPr="00DB5357" w:rsidRDefault="00DB5357" w:rsidP="00DB5357">
      <w:pPr>
        <w:pStyle w:val="s17"/>
        <w:spacing w:before="0" w:beforeAutospacing="0" w:after="0" w:afterAutospacing="0"/>
        <w:jc w:val="both"/>
        <w:rPr>
          <w:rStyle w:val="bumpedfont15"/>
          <w:rFonts w:ascii="Arial" w:hAnsi="Arial" w:cs="Arial"/>
          <w:color w:val="000000"/>
          <w:sz w:val="21"/>
          <w:szCs w:val="21"/>
        </w:rPr>
      </w:pP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È 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quanto affermato dai Consiglieri nazionali dei commercialisti, 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Gilberto e Gelosa e Maurizio Postal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, nel corso dell’audizione parlamentare sul Decreto Ristori svoltasi oggi presso la Commissione Finanze del Senato, illustrando la proposta già avanzata nei giorni scorsi dal presidente della categoria, 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Massimo Miani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, di istituzione di un “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superbonus della ricapitalizzazione delle imprese”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.</w:t>
      </w:r>
      <w:r w:rsidRPr="00DB5357">
        <w:rPr>
          <w:rFonts w:ascii="Arial" w:hAnsi="Arial" w:cs="Arial"/>
          <w:color w:val="000000"/>
          <w:sz w:val="21"/>
          <w:szCs w:val="21"/>
        </w:rPr>
        <w:t xml:space="preserve"> “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La capitalizzazione del sistema delle imprese – hanno affermato - costituisce un 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obiettivo primario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 per le imprese e per i suoi creditori, tra i quali, seppure indirettamente, è ormai molto 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forte il ruolo dello Stato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, quale garante di ultima istanza verso il settore bancario, per gli ingenti</w:t>
      </w:r>
      <w:r w:rsidRPr="00DB5357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prestiti che sono stati rilasciati con garanzia statale.</w:t>
      </w:r>
    </w:p>
    <w:p w14:paraId="370F8BCF" w14:textId="77777777" w:rsidR="00DB5357" w:rsidRPr="00DB5357" w:rsidRDefault="00DB5357" w:rsidP="00DB5357">
      <w:pPr>
        <w:pStyle w:val="s17"/>
        <w:spacing w:before="0" w:beforeAutospacing="0" w:after="0" w:afterAutospacing="0"/>
        <w:jc w:val="both"/>
        <w:rPr>
          <w:rStyle w:val="bumpedfont15"/>
          <w:rFonts w:ascii="Arial" w:hAnsi="Arial" w:cs="Arial"/>
          <w:color w:val="000000"/>
          <w:sz w:val="21"/>
          <w:szCs w:val="21"/>
        </w:rPr>
      </w:pPr>
    </w:p>
    <w:p w14:paraId="4F425AA7" w14:textId="319187B2" w:rsidR="00DB5357" w:rsidRPr="00DB5357" w:rsidRDefault="00DB5357" w:rsidP="00DB5357">
      <w:pPr>
        <w:pStyle w:val="s17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Un piano di incentivi alla ricapitalizzazione delle imprese, mediante le sovvenzioni UE, costituisce dunque il modo migliore per attuare 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 xml:space="preserve">una scelta </w:t>
      </w:r>
      <w:proofErr w:type="spellStart"/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win-win</w:t>
      </w:r>
      <w:proofErr w:type="spellEnd"/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 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privato-pubblico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, perché rafforza la solidità delle imprese e la loro capacità di rimborso dell’indebitamento, evitando al contempo allo Stato di dover intervenire con risorse proprie a copertura delle garanzie che verrebbero attivate dal sistema bancario nel caso in cui le imprese debitrici non</w:t>
      </w:r>
      <w:r w:rsidRPr="00DB5357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fossero in grado</w:t>
      </w:r>
      <w:r w:rsidRPr="00DB5357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di onorare i propri debiti”.</w:t>
      </w:r>
      <w:r w:rsidRPr="00DB5357">
        <w:rPr>
          <w:rFonts w:ascii="Arial" w:hAnsi="Arial" w:cs="Arial"/>
          <w:color w:val="000000"/>
          <w:sz w:val="21"/>
          <w:szCs w:val="21"/>
        </w:rPr>
        <w:t> </w:t>
      </w:r>
    </w:p>
    <w:p w14:paraId="66D19877" w14:textId="77777777" w:rsidR="00DB5357" w:rsidRPr="00DB5357" w:rsidRDefault="00DB5357" w:rsidP="00DB5357">
      <w:pPr>
        <w:pStyle w:val="s17"/>
        <w:spacing w:before="0" w:beforeAutospacing="0" w:after="0" w:afterAutospacing="0"/>
        <w:jc w:val="both"/>
        <w:rPr>
          <w:rStyle w:val="bumpedfont15"/>
          <w:rFonts w:ascii="Arial" w:hAnsi="Arial" w:cs="Arial"/>
          <w:color w:val="000000"/>
          <w:sz w:val="21"/>
          <w:szCs w:val="21"/>
        </w:rPr>
      </w:pPr>
    </w:p>
    <w:p w14:paraId="768A816D" w14:textId="6A735D5D" w:rsidR="00DB5357" w:rsidRPr="00DB5357" w:rsidRDefault="00DB5357" w:rsidP="00DB5357">
      <w:pPr>
        <w:pStyle w:val="s17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Per funzionare, hanno spiegato Gelosa e Postal “il meccanismo dovrebbe però essere 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estremamente semplice e l’incentivo estremamente premiante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, come dimostra lo scarso appeal di strumenti simili recentemente introdotti, ma straordinariamente</w:t>
      </w:r>
      <w:r w:rsidRPr="00DB5357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complessi e non sufficientemente premianti.</w:t>
      </w:r>
      <w:r w:rsidRPr="00DB5357">
        <w:rPr>
          <w:rFonts w:ascii="Arial" w:hAnsi="Arial" w:cs="Arial"/>
          <w:color w:val="000000"/>
          <w:sz w:val="21"/>
          <w:szCs w:val="21"/>
        </w:rPr>
        <w:t xml:space="preserve"> 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Servirebbe un vero e proprio “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superbonus della ricapitalizzazione delle imprese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”, tale per cui, per ogni euro di aumento di capitale viene riconosciuto un euro di contributo pubblico (da appostare in una riserva</w:t>
      </w:r>
      <w:r w:rsidRPr="00DB5357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di</w:t>
      </w:r>
      <w:r w:rsidRPr="00DB5357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patrimonio netto non distribuibile), nella forma di credito di imposta cedibile a terzi, ivi comprese banche e istituti di credito (su modello superbonus edilizio)”.</w:t>
      </w:r>
      <w:r w:rsidRPr="00DB5357">
        <w:rPr>
          <w:rFonts w:ascii="Arial" w:hAnsi="Arial" w:cs="Arial"/>
          <w:color w:val="000000"/>
          <w:sz w:val="21"/>
          <w:szCs w:val="21"/>
        </w:rPr>
        <w:t> </w:t>
      </w:r>
    </w:p>
    <w:p w14:paraId="68750FF8" w14:textId="77777777" w:rsidR="00DB5357" w:rsidRPr="00DB5357" w:rsidRDefault="00DB5357" w:rsidP="00DB5357">
      <w:pPr>
        <w:pStyle w:val="s17"/>
        <w:spacing w:before="0" w:beforeAutospacing="0" w:after="0" w:afterAutospacing="0"/>
        <w:jc w:val="both"/>
        <w:rPr>
          <w:rStyle w:val="bumpedfont15"/>
          <w:rFonts w:ascii="Arial" w:hAnsi="Arial" w:cs="Arial"/>
          <w:color w:val="000000"/>
          <w:sz w:val="21"/>
          <w:szCs w:val="21"/>
        </w:rPr>
      </w:pPr>
    </w:p>
    <w:p w14:paraId="7670C369" w14:textId="11D30BB6" w:rsidR="00DB5357" w:rsidRPr="00DB5357" w:rsidRDefault="00DB5357" w:rsidP="00DB5357">
      <w:pPr>
        <w:pStyle w:val="s17"/>
        <w:spacing w:before="0" w:beforeAutospacing="0" w:after="0" w:afterAutospacing="0"/>
        <w:jc w:val="both"/>
        <w:rPr>
          <w:rStyle w:val="bumpedfont15"/>
          <w:rFonts w:ascii="Arial" w:hAnsi="Arial" w:cs="Arial"/>
          <w:color w:val="000000"/>
          <w:sz w:val="21"/>
          <w:szCs w:val="21"/>
        </w:rPr>
      </w:pP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“Unici accorgimenti – hanno proseguito - in un meccanismo normativo che deve essere il più lineare e </w:t>
      </w:r>
      <w:bookmarkStart w:id="2" w:name="_GoBack"/>
      <w:bookmarkEnd w:id="2"/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semplice</w:t>
      </w:r>
      <w:r w:rsidRPr="00DB5357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possibile, sarebbero quelli volti ad evitare “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effetti moltiplicativi fittizi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” nelle catene partecipative, prevedendo che una società, la quale abbia fruito del superbonus ricapitalizzazioni, se ricapitalizza una propria partecipata, attribuisce a quest’ultima un superbonus del 100% solo per la parte di apporto di capitale eventualmente eccedente l’aumento di capitale che è stato agevolato in capo ad essa.</w:t>
      </w:r>
      <w:r w:rsidRPr="00DB5357">
        <w:rPr>
          <w:rFonts w:ascii="Arial" w:hAnsi="Arial" w:cs="Arial"/>
          <w:color w:val="000000"/>
          <w:sz w:val="21"/>
          <w:szCs w:val="21"/>
        </w:rPr>
        <w:t xml:space="preserve"> 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Eventualmente, per concentrare maggiormente le risorse (mantenendo elevato e quindi “irrifiutabile”</w:t>
      </w:r>
      <w:r w:rsidRPr="00DB5357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l’occasione di cogliere l’incentivo), si potrebbe prevedere una 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 xml:space="preserve">limitazione della platea soggettiva 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alle sole imprese che, nel 2020, rispetto al 2019, hanno avuto un calo di fatturato oltre una determinata soglia e hanno registrato un aumento del rapporto</w:t>
      </w:r>
      <w:r w:rsidRPr="00DB5357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capitale di debito / mezzi propri superiore a una determinata soglia (fermo restando che non devono avere un rapporto deteriorato al punto da rientrare nella nozione comunitaria di società già in difficoltà).</w:t>
      </w:r>
    </w:p>
    <w:p w14:paraId="0C6D021C" w14:textId="77777777" w:rsidR="00DB5357" w:rsidRPr="00DB5357" w:rsidRDefault="00DB5357" w:rsidP="00DB5357">
      <w:pPr>
        <w:pStyle w:val="s17"/>
        <w:spacing w:before="0" w:beforeAutospacing="0" w:after="0" w:afterAutospacing="0"/>
        <w:jc w:val="both"/>
        <w:rPr>
          <w:rStyle w:val="bumpedfont15"/>
          <w:rFonts w:ascii="Arial" w:hAnsi="Arial" w:cs="Arial"/>
          <w:color w:val="000000"/>
          <w:sz w:val="21"/>
          <w:szCs w:val="21"/>
        </w:rPr>
      </w:pPr>
    </w:p>
    <w:p w14:paraId="33D8DBB8" w14:textId="6DF2888A" w:rsidR="00DB5357" w:rsidRPr="00DB5357" w:rsidRDefault="00DB5357" w:rsidP="00DB5357">
      <w:pPr>
        <w:pStyle w:val="s17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“Sarebbe il modo migliore di investire una parte</w:t>
      </w:r>
      <w:r w:rsidRPr="00DB5357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cospicua delle sovvenzioni a fondo perduto UE”, hanno concluso Gelosa e Postal. “Lo Stato si tutelerebbe rispetto alle 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 xml:space="preserve">esposizioni 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che ha come garante, le imprese reggerebbero nei prossimi anni la sfida della 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 xml:space="preserve">ripartenza e del contemporaneo pagamento dei debiti contratti 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>per sopravvivere</w:t>
      </w:r>
      <w:r w:rsidRPr="00DB5357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nella fase di massima difficolta e, alla fine del periodo di rimborso dei prestiti garantiti, avremmo uno Stato con </w:t>
      </w:r>
      <w:r w:rsidRPr="00DB5357">
        <w:rPr>
          <w:rStyle w:val="bumpedfont15"/>
          <w:rFonts w:ascii="Arial" w:hAnsi="Arial" w:cs="Arial"/>
          <w:b/>
          <w:bCs/>
          <w:color w:val="000000"/>
          <w:sz w:val="21"/>
          <w:szCs w:val="21"/>
        </w:rPr>
        <w:t>meno deficit e debito</w:t>
      </w:r>
      <w:r w:rsidRPr="00DB5357">
        <w:rPr>
          <w:rStyle w:val="bumpedfont15"/>
          <w:rFonts w:ascii="Arial" w:hAnsi="Arial" w:cs="Arial"/>
          <w:color w:val="000000"/>
          <w:sz w:val="21"/>
          <w:szCs w:val="21"/>
        </w:rPr>
        <w:t xml:space="preserve"> di quello che altrimenti avrebbe e imprese più capitalizzate di quello che altrimenti sarebbero”.</w:t>
      </w:r>
      <w:r w:rsidRPr="00DB5357">
        <w:rPr>
          <w:rFonts w:ascii="Arial" w:hAnsi="Arial" w:cs="Arial"/>
          <w:color w:val="000000"/>
          <w:sz w:val="21"/>
          <w:szCs w:val="21"/>
        </w:rPr>
        <w:t> </w:t>
      </w:r>
    </w:p>
    <w:p w14:paraId="7276701A" w14:textId="2A6B46F9" w:rsidR="00B3271C" w:rsidRPr="00DB5357" w:rsidRDefault="00620A58" w:rsidP="00DB5357">
      <w:pPr>
        <w:jc w:val="both"/>
        <w:rPr>
          <w:rFonts w:ascii="Arial" w:hAnsi="Arial" w:cs="Arial"/>
          <w:sz w:val="21"/>
          <w:szCs w:val="21"/>
        </w:rPr>
      </w:pPr>
    </w:p>
    <w:p w14:paraId="2AE1C5CA" w14:textId="77777777" w:rsidR="00DB5357" w:rsidRPr="00DB5357" w:rsidRDefault="00DB5357" w:rsidP="00DB5357">
      <w:pPr>
        <w:rPr>
          <w:rStyle w:val="Enfasigrassetto"/>
          <w:rFonts w:ascii="Arial" w:hAnsi="Arial" w:cs="Arial"/>
          <w:sz w:val="21"/>
          <w:szCs w:val="21"/>
          <w:shd w:val="clear" w:color="auto" w:fill="FFFFFF"/>
        </w:rPr>
      </w:pPr>
    </w:p>
    <w:p w14:paraId="073029BC" w14:textId="4CF695E8" w:rsidR="00D6319A" w:rsidRDefault="00D6319A" w:rsidP="00DB5357">
      <w:pPr>
        <w:rPr>
          <w:rFonts w:ascii="Arial" w:hAnsi="Arial" w:cs="Arial"/>
          <w:sz w:val="21"/>
          <w:szCs w:val="21"/>
        </w:rPr>
      </w:pPr>
      <w:r w:rsidRPr="00D6319A">
        <w:rPr>
          <w:rStyle w:val="Enfasigrassetto"/>
          <w:rFonts w:ascii="Arial" w:hAnsi="Arial" w:cs="Arial"/>
          <w:sz w:val="21"/>
          <w:szCs w:val="21"/>
          <w:shd w:val="clear" w:color="auto" w:fill="FFFFFF"/>
        </w:rPr>
        <w:t>Mauro Parracino</w:t>
      </w:r>
      <w:r w:rsidRPr="00D6319A">
        <w:rPr>
          <w:rFonts w:ascii="Arial" w:hAnsi="Arial" w:cs="Arial"/>
          <w:sz w:val="21"/>
          <w:szCs w:val="21"/>
        </w:rPr>
        <w:br/>
      </w:r>
      <w:r w:rsidRPr="00D6319A">
        <w:rPr>
          <w:rStyle w:val="Enfasicorsivo"/>
          <w:rFonts w:ascii="Arial" w:hAnsi="Arial" w:cs="Arial"/>
          <w:i w:val="0"/>
          <w:iCs w:val="0"/>
          <w:sz w:val="21"/>
          <w:szCs w:val="21"/>
          <w:shd w:val="clear" w:color="auto" w:fill="FFFFFF"/>
        </w:rPr>
        <w:t>Responsabile Ufficio Stampa</w:t>
      </w:r>
      <w:r w:rsidRPr="00D6319A">
        <w:rPr>
          <w:rFonts w:ascii="Arial" w:hAnsi="Arial" w:cs="Arial"/>
          <w:i/>
          <w:iCs/>
          <w:sz w:val="21"/>
          <w:szCs w:val="21"/>
        </w:rPr>
        <w:br/>
      </w:r>
      <w:r w:rsidRPr="00D6319A">
        <w:rPr>
          <w:rFonts w:ascii="Arial" w:hAnsi="Arial" w:cs="Arial"/>
          <w:sz w:val="21"/>
          <w:szCs w:val="21"/>
          <w:shd w:val="clear" w:color="auto" w:fill="FFFFFF"/>
        </w:rPr>
        <w:t>06.47863627</w:t>
      </w:r>
      <w:r w:rsidRPr="00D6319A">
        <w:rPr>
          <w:rFonts w:ascii="Arial" w:hAnsi="Arial" w:cs="Arial"/>
          <w:sz w:val="21"/>
          <w:szCs w:val="21"/>
        </w:rPr>
        <w:br/>
      </w:r>
      <w:hyperlink r:id="rId6" w:history="1">
        <w:r w:rsidRPr="00D6319A">
          <w:rPr>
            <w:rStyle w:val="Collegamentoipertestuale"/>
            <w:rFonts w:ascii="Arial" w:hAnsi="Arial" w:cs="Arial"/>
            <w:color w:val="auto"/>
            <w:sz w:val="21"/>
            <w:szCs w:val="21"/>
            <w:shd w:val="clear" w:color="auto" w:fill="FFFFFF"/>
          </w:rPr>
          <w:t>parracino@commercialisti.it</w:t>
        </w:r>
      </w:hyperlink>
    </w:p>
    <w:p w14:paraId="3FFE60DD" w14:textId="77777777" w:rsidR="00D6319A" w:rsidRPr="00D6319A" w:rsidRDefault="00D6319A" w:rsidP="00D6319A">
      <w:pPr>
        <w:rPr>
          <w:rFonts w:ascii="Arial" w:hAnsi="Arial" w:cs="Arial"/>
          <w:sz w:val="21"/>
          <w:szCs w:val="21"/>
        </w:rPr>
      </w:pPr>
    </w:p>
    <w:sectPr w:rsidR="00D6319A" w:rsidRPr="00D6319A" w:rsidSect="00986D9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25A73" w14:textId="77777777" w:rsidR="00620A58" w:rsidRDefault="00620A58" w:rsidP="00627996">
      <w:r>
        <w:separator/>
      </w:r>
    </w:p>
  </w:endnote>
  <w:endnote w:type="continuationSeparator" w:id="0">
    <w:p w14:paraId="200ACA13" w14:textId="77777777" w:rsidR="00620A58" w:rsidRDefault="00620A58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22521" w14:textId="77777777" w:rsidR="00620A58" w:rsidRDefault="00620A58" w:rsidP="00627996">
      <w:r>
        <w:separator/>
      </w:r>
    </w:p>
  </w:footnote>
  <w:footnote w:type="continuationSeparator" w:id="0">
    <w:p w14:paraId="5DEE5511" w14:textId="77777777" w:rsidR="00620A58" w:rsidRDefault="00620A58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6FF77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52B6B587" wp14:editId="465ECB3E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B3759"/>
    <w:rsid w:val="001D0C92"/>
    <w:rsid w:val="00206248"/>
    <w:rsid w:val="00237BEE"/>
    <w:rsid w:val="002B1170"/>
    <w:rsid w:val="002B1507"/>
    <w:rsid w:val="002E31F2"/>
    <w:rsid w:val="002F5F5A"/>
    <w:rsid w:val="003248FA"/>
    <w:rsid w:val="003C2FC0"/>
    <w:rsid w:val="003D5F58"/>
    <w:rsid w:val="00440225"/>
    <w:rsid w:val="004E7DE1"/>
    <w:rsid w:val="00595991"/>
    <w:rsid w:val="00620A58"/>
    <w:rsid w:val="00627996"/>
    <w:rsid w:val="00656CC5"/>
    <w:rsid w:val="00734687"/>
    <w:rsid w:val="007E279B"/>
    <w:rsid w:val="00986D90"/>
    <w:rsid w:val="009D1104"/>
    <w:rsid w:val="009F27EC"/>
    <w:rsid w:val="00AC6BB0"/>
    <w:rsid w:val="00AD663D"/>
    <w:rsid w:val="00C139E4"/>
    <w:rsid w:val="00D0285A"/>
    <w:rsid w:val="00D41E98"/>
    <w:rsid w:val="00D6319A"/>
    <w:rsid w:val="00D84F7E"/>
    <w:rsid w:val="00DB4B99"/>
    <w:rsid w:val="00DB5357"/>
    <w:rsid w:val="00E3770D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98D8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7">
    <w:name w:val="s17"/>
    <w:basedOn w:val="Normale"/>
    <w:uiPriority w:val="99"/>
    <w:rsid w:val="007E27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15">
    <w:name w:val="bumpedfont15"/>
    <w:basedOn w:val="Carpredefinitoparagrafo"/>
    <w:rsid w:val="007E279B"/>
  </w:style>
  <w:style w:type="character" w:customStyle="1" w:styleId="apple-converted-space">
    <w:name w:val="apple-converted-space"/>
    <w:basedOn w:val="Carpredefinitoparagrafo"/>
    <w:rsid w:val="007E279B"/>
  </w:style>
  <w:style w:type="character" w:styleId="Enfasigrassetto">
    <w:name w:val="Strong"/>
    <w:basedOn w:val="Carpredefinitoparagrafo"/>
    <w:uiPriority w:val="22"/>
    <w:qFormat/>
    <w:rsid w:val="00D6319A"/>
    <w:rPr>
      <w:b/>
      <w:bCs/>
    </w:rPr>
  </w:style>
  <w:style w:type="character" w:styleId="Enfasicorsivo">
    <w:name w:val="Emphasis"/>
    <w:basedOn w:val="Carpredefinitoparagrafo"/>
    <w:uiPriority w:val="20"/>
    <w:qFormat/>
    <w:rsid w:val="00D6319A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D63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racino@commercialist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2</cp:revision>
  <dcterms:created xsi:type="dcterms:W3CDTF">2020-11-06T13:39:00Z</dcterms:created>
  <dcterms:modified xsi:type="dcterms:W3CDTF">2020-11-06T13:39:00Z</dcterms:modified>
</cp:coreProperties>
</file>