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CF196D" w14:textId="77777777" w:rsidR="00DB5357" w:rsidRDefault="00DB5357" w:rsidP="00DB5357">
      <w:pPr>
        <w:pStyle w:val="Normale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bookmarkStart w:id="0" w:name="OLE_LINK1"/>
      <w:r>
        <w:rPr>
          <w:rFonts w:ascii="Arial" w:hAnsi="Arial" w:cs="Arial"/>
          <w:color w:val="000000"/>
        </w:rPr>
        <w:t>Comunicato stampa</w:t>
      </w:r>
      <w:bookmarkStart w:id="1" w:name="OLE_LINK2"/>
      <w:bookmarkEnd w:id="0"/>
      <w:bookmarkEnd w:id="1"/>
    </w:p>
    <w:p w14:paraId="6DC70E19" w14:textId="77777777" w:rsidR="00DB5357" w:rsidRDefault="00DB5357" w:rsidP="00DB5357">
      <w:pPr>
        <w:pStyle w:val="Normale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3CE5C234" w14:textId="1D0F4497" w:rsidR="00DB5357" w:rsidRDefault="00DB5357" w:rsidP="00DB5357">
      <w:pPr>
        <w:pStyle w:val="NormaleWeb"/>
        <w:spacing w:before="0" w:beforeAutospacing="0" w:after="0" w:afterAutospacing="0"/>
        <w:jc w:val="both"/>
        <w:rPr>
          <w:color w:val="000000"/>
        </w:rPr>
      </w:pPr>
      <w:r>
        <w:rPr>
          <w:rStyle w:val="bumpedfont15"/>
          <w:rFonts w:ascii="Arial" w:hAnsi="Arial" w:cs="Arial"/>
          <w:b/>
          <w:bCs/>
          <w:color w:val="000000"/>
        </w:rPr>
        <w:t>COMMERCIALISTI: USARE FONDI UE PER UN SUPERBONUS CAPITALIZZAZIONE IMPRESE</w:t>
      </w:r>
      <w:r>
        <w:rPr>
          <w:rFonts w:ascii="Arial" w:hAnsi="Arial" w:cs="Arial"/>
          <w:color w:val="000000"/>
        </w:rPr>
        <w:t> </w:t>
      </w:r>
    </w:p>
    <w:p w14:paraId="7F3B6845" w14:textId="77777777" w:rsidR="00DB5357" w:rsidRDefault="00DB5357" w:rsidP="00DB5357">
      <w:pPr>
        <w:pStyle w:val="s17"/>
        <w:spacing w:before="0" w:beforeAutospacing="0" w:after="0" w:afterAutospacing="0"/>
        <w:jc w:val="both"/>
        <w:rPr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La categoria in audizione al Senato: </w:t>
      </w:r>
      <w:r>
        <w:rPr>
          <w:rStyle w:val="bumpedfont15"/>
          <w:rFonts w:ascii="Arial" w:hAnsi="Arial" w:cs="Arial"/>
          <w:b/>
          <w:bCs/>
          <w:color w:val="000000"/>
        </w:rPr>
        <w:t xml:space="preserve">“Sarebbe il modo migliore per attuare una scelta </w:t>
      </w:r>
      <w:proofErr w:type="spellStart"/>
      <w:r>
        <w:rPr>
          <w:rStyle w:val="bumpedfont15"/>
          <w:rFonts w:ascii="Arial" w:hAnsi="Arial" w:cs="Arial"/>
          <w:b/>
          <w:bCs/>
          <w:color w:val="000000"/>
        </w:rPr>
        <w:t>win-win</w:t>
      </w:r>
      <w:proofErr w:type="spellEnd"/>
      <w:r>
        <w:rPr>
          <w:rStyle w:val="bumpedfont15"/>
          <w:rFonts w:ascii="Arial" w:hAnsi="Arial" w:cs="Arial"/>
          <w:b/>
          <w:bCs/>
          <w:color w:val="000000"/>
        </w:rPr>
        <w:t xml:space="preserve"> privato-pubblico, che tutela sia lo Stato che le imprese”</w:t>
      </w:r>
      <w:r>
        <w:rPr>
          <w:rFonts w:ascii="Arial" w:hAnsi="Arial" w:cs="Arial"/>
          <w:b/>
          <w:bCs/>
          <w:color w:val="000000"/>
        </w:rPr>
        <w:t> </w:t>
      </w:r>
    </w:p>
    <w:p w14:paraId="03D9B246" w14:textId="326DAE6D" w:rsidR="00DB5357" w:rsidRDefault="00DB5357" w:rsidP="00DB5357">
      <w:pPr>
        <w:pStyle w:val="s17"/>
        <w:spacing w:before="0" w:beforeAutospacing="0" w:after="0" w:afterAutospacing="0"/>
        <w:jc w:val="both"/>
        <w:rPr>
          <w:rStyle w:val="bumpedfont15"/>
          <w:rFonts w:ascii="Arial" w:hAnsi="Arial" w:cs="Arial"/>
          <w:color w:val="000000"/>
          <w:sz w:val="21"/>
          <w:szCs w:val="21"/>
        </w:rPr>
      </w:pPr>
    </w:p>
    <w:p w14:paraId="34C94F7C" w14:textId="77777777" w:rsidR="00DB5357" w:rsidRPr="00DB5357" w:rsidRDefault="00DB5357" w:rsidP="00DB5357">
      <w:pPr>
        <w:pStyle w:val="s17"/>
        <w:spacing w:before="0" w:beforeAutospacing="0" w:after="0" w:afterAutospacing="0"/>
        <w:jc w:val="both"/>
        <w:rPr>
          <w:rStyle w:val="bumpedfont15"/>
          <w:rFonts w:ascii="Arial" w:hAnsi="Arial" w:cs="Arial"/>
          <w:color w:val="000000"/>
          <w:sz w:val="21"/>
          <w:szCs w:val="21"/>
        </w:rPr>
      </w:pPr>
    </w:p>
    <w:p w14:paraId="435B66A4" w14:textId="0874CC99" w:rsidR="00DB5357" w:rsidRPr="00DB5357" w:rsidRDefault="00DB5357" w:rsidP="00DB5357">
      <w:pPr>
        <w:pStyle w:val="s17"/>
        <w:spacing w:before="0" w:beforeAutospacing="0" w:after="0" w:afterAutospacing="0"/>
        <w:jc w:val="both"/>
        <w:rPr>
          <w:rStyle w:val="bumpedfont15"/>
          <w:rFonts w:ascii="Arial" w:hAnsi="Arial" w:cs="Arial"/>
          <w:color w:val="000000"/>
          <w:sz w:val="21"/>
          <w:szCs w:val="21"/>
        </w:rPr>
      </w:pPr>
      <w:r w:rsidRPr="00DB5357">
        <w:rPr>
          <w:rStyle w:val="bumpedfont15"/>
          <w:rFonts w:ascii="Arial" w:hAnsi="Arial" w:cs="Arial"/>
          <w:i/>
          <w:iCs/>
          <w:color w:val="000000"/>
          <w:sz w:val="21"/>
          <w:szCs w:val="21"/>
        </w:rPr>
        <w:t>Roma, 6 novembre 2020 –</w:t>
      </w:r>
      <w:r w:rsidRPr="00DB5357">
        <w:rPr>
          <w:rStyle w:val="bumpedfont15"/>
          <w:rFonts w:ascii="Arial" w:hAnsi="Arial" w:cs="Arial"/>
          <w:color w:val="000000"/>
          <w:sz w:val="21"/>
          <w:szCs w:val="21"/>
        </w:rPr>
        <w:t xml:space="preserve"> “Nel Documento</w:t>
      </w:r>
      <w:r w:rsidRPr="00DB5357"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 w:rsidRPr="00DB5357">
        <w:rPr>
          <w:rStyle w:val="bumpedfont15"/>
          <w:rFonts w:ascii="Arial" w:hAnsi="Arial" w:cs="Arial"/>
          <w:color w:val="000000"/>
          <w:sz w:val="21"/>
          <w:szCs w:val="21"/>
        </w:rPr>
        <w:t>Programmatico</w:t>
      </w:r>
      <w:r w:rsidRPr="00DB5357"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 w:rsidRPr="00DB5357">
        <w:rPr>
          <w:rStyle w:val="bumpedfont15"/>
          <w:rFonts w:ascii="Arial" w:hAnsi="Arial" w:cs="Arial"/>
          <w:color w:val="000000"/>
          <w:sz w:val="21"/>
          <w:szCs w:val="21"/>
        </w:rPr>
        <w:t>di</w:t>
      </w:r>
      <w:r w:rsidRPr="00DB5357"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 w:rsidRPr="00DB5357">
        <w:rPr>
          <w:rStyle w:val="bumpedfont15"/>
          <w:rFonts w:ascii="Arial" w:hAnsi="Arial" w:cs="Arial"/>
          <w:color w:val="000000"/>
          <w:sz w:val="21"/>
          <w:szCs w:val="21"/>
        </w:rPr>
        <w:t>Bilancio</w:t>
      </w:r>
      <w:r w:rsidRPr="00DB5357"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 w:rsidRPr="00DB5357">
        <w:rPr>
          <w:rStyle w:val="bumpedfont15"/>
          <w:rFonts w:ascii="Arial" w:hAnsi="Arial" w:cs="Arial"/>
          <w:color w:val="000000"/>
          <w:sz w:val="21"/>
          <w:szCs w:val="21"/>
        </w:rPr>
        <w:t xml:space="preserve">2021, il Governo stima di incassare tra il 2021 e il 2026 sovvenzioni UE a fondo perduto per </w:t>
      </w:r>
      <w:r w:rsidRPr="00DB5357">
        <w:rPr>
          <w:rStyle w:val="bumpedfont15"/>
          <w:rFonts w:ascii="Arial" w:hAnsi="Arial" w:cs="Arial"/>
          <w:b/>
          <w:bCs/>
          <w:color w:val="000000"/>
          <w:sz w:val="21"/>
          <w:szCs w:val="21"/>
        </w:rPr>
        <w:t>complessivi 65,4 miliardi di euro</w:t>
      </w:r>
      <w:r w:rsidRPr="00DB5357">
        <w:rPr>
          <w:rStyle w:val="bumpedfont15"/>
          <w:rFonts w:ascii="Arial" w:hAnsi="Arial" w:cs="Arial"/>
          <w:color w:val="000000"/>
          <w:sz w:val="21"/>
          <w:szCs w:val="21"/>
        </w:rPr>
        <w:t>.</w:t>
      </w:r>
      <w:r w:rsidRPr="00DB5357">
        <w:rPr>
          <w:rFonts w:ascii="Arial" w:hAnsi="Arial" w:cs="Arial"/>
          <w:color w:val="000000"/>
          <w:sz w:val="21"/>
          <w:szCs w:val="21"/>
        </w:rPr>
        <w:t xml:space="preserve"> </w:t>
      </w:r>
      <w:r w:rsidRPr="00DB5357">
        <w:rPr>
          <w:rStyle w:val="bumpedfont15"/>
          <w:rFonts w:ascii="Arial" w:hAnsi="Arial" w:cs="Arial"/>
          <w:color w:val="000000"/>
          <w:sz w:val="21"/>
          <w:szCs w:val="21"/>
        </w:rPr>
        <w:t xml:space="preserve">Appare cruciale che una fetta rilevante venga dedicata al </w:t>
      </w:r>
      <w:r w:rsidRPr="00DB5357">
        <w:rPr>
          <w:rStyle w:val="bumpedfont15"/>
          <w:rFonts w:ascii="Arial" w:hAnsi="Arial" w:cs="Arial"/>
          <w:b/>
          <w:bCs/>
          <w:color w:val="000000"/>
          <w:sz w:val="21"/>
          <w:szCs w:val="21"/>
        </w:rPr>
        <w:t>sostegno degli investimenti privati</w:t>
      </w:r>
      <w:r w:rsidRPr="00DB5357">
        <w:rPr>
          <w:rStyle w:val="bumpedfont15"/>
          <w:rFonts w:ascii="Arial" w:hAnsi="Arial" w:cs="Arial"/>
          <w:color w:val="000000"/>
          <w:sz w:val="21"/>
          <w:szCs w:val="21"/>
        </w:rPr>
        <w:t xml:space="preserve">, nella forma di </w:t>
      </w:r>
      <w:r w:rsidRPr="00DB5357">
        <w:rPr>
          <w:rStyle w:val="bumpedfont15"/>
          <w:rFonts w:ascii="Arial" w:hAnsi="Arial" w:cs="Arial"/>
          <w:b/>
          <w:bCs/>
          <w:color w:val="000000"/>
          <w:sz w:val="21"/>
          <w:szCs w:val="21"/>
        </w:rPr>
        <w:t>incentivi alla capitalizzazione del sistema delle imprese</w:t>
      </w:r>
      <w:r w:rsidRPr="00DB5357">
        <w:rPr>
          <w:rStyle w:val="bumpedfont15"/>
          <w:rFonts w:ascii="Arial" w:hAnsi="Arial" w:cs="Arial"/>
          <w:color w:val="000000"/>
          <w:sz w:val="21"/>
          <w:szCs w:val="21"/>
        </w:rPr>
        <w:t>”.</w:t>
      </w:r>
    </w:p>
    <w:p w14:paraId="6DF38065" w14:textId="77777777" w:rsidR="00DB5357" w:rsidRPr="00DB5357" w:rsidRDefault="00DB5357" w:rsidP="00DB5357">
      <w:pPr>
        <w:pStyle w:val="s17"/>
        <w:spacing w:before="0" w:beforeAutospacing="0" w:after="0" w:afterAutospacing="0"/>
        <w:jc w:val="both"/>
        <w:rPr>
          <w:rStyle w:val="bumpedfont15"/>
          <w:rFonts w:ascii="Arial" w:hAnsi="Arial" w:cs="Arial"/>
          <w:color w:val="000000"/>
          <w:sz w:val="21"/>
          <w:szCs w:val="21"/>
        </w:rPr>
      </w:pPr>
    </w:p>
    <w:p w14:paraId="0083B78B" w14:textId="5198CCBE" w:rsidR="00DB5357" w:rsidRPr="00DB5357" w:rsidRDefault="00DB5357" w:rsidP="00DB5357">
      <w:pPr>
        <w:pStyle w:val="s17"/>
        <w:spacing w:before="0" w:beforeAutospacing="0" w:after="0" w:afterAutospacing="0"/>
        <w:jc w:val="both"/>
        <w:rPr>
          <w:rStyle w:val="bumpedfont15"/>
          <w:rFonts w:ascii="Arial" w:hAnsi="Arial" w:cs="Arial"/>
          <w:color w:val="000000"/>
          <w:sz w:val="21"/>
          <w:szCs w:val="21"/>
        </w:rPr>
      </w:pPr>
      <w:r w:rsidRPr="00DB5357">
        <w:rPr>
          <w:rStyle w:val="bumpedfont15"/>
          <w:rFonts w:ascii="Arial" w:hAnsi="Arial" w:cs="Arial"/>
          <w:color w:val="000000"/>
          <w:sz w:val="21"/>
          <w:szCs w:val="21"/>
        </w:rPr>
        <w:t xml:space="preserve">È </w:t>
      </w:r>
      <w:r w:rsidRPr="00DB5357">
        <w:rPr>
          <w:rStyle w:val="bumpedfont15"/>
          <w:rFonts w:ascii="Arial" w:hAnsi="Arial" w:cs="Arial"/>
          <w:color w:val="000000"/>
          <w:sz w:val="21"/>
          <w:szCs w:val="21"/>
        </w:rPr>
        <w:t xml:space="preserve">quanto affermato dai Consiglieri nazionali dei commercialisti, </w:t>
      </w:r>
      <w:r w:rsidRPr="00DB5357">
        <w:rPr>
          <w:rStyle w:val="bumpedfont15"/>
          <w:rFonts w:ascii="Arial" w:hAnsi="Arial" w:cs="Arial"/>
          <w:b/>
          <w:bCs/>
          <w:color w:val="000000"/>
          <w:sz w:val="21"/>
          <w:szCs w:val="21"/>
        </w:rPr>
        <w:t>Gilberto e Gelosa e Maurizio Postal</w:t>
      </w:r>
      <w:r w:rsidRPr="00DB5357">
        <w:rPr>
          <w:rStyle w:val="bumpedfont15"/>
          <w:rFonts w:ascii="Arial" w:hAnsi="Arial" w:cs="Arial"/>
          <w:color w:val="000000"/>
          <w:sz w:val="21"/>
          <w:szCs w:val="21"/>
        </w:rPr>
        <w:t xml:space="preserve">, nel corso dell’audizione parlamentare sul Decreto Ristori svoltasi oggi presso la Commissione Finanze del Senato, illustrando la proposta già avanzata nei giorni scorsi dal presidente della categoria, </w:t>
      </w:r>
      <w:r w:rsidRPr="00DB5357">
        <w:rPr>
          <w:rStyle w:val="bumpedfont15"/>
          <w:rFonts w:ascii="Arial" w:hAnsi="Arial" w:cs="Arial"/>
          <w:b/>
          <w:bCs/>
          <w:color w:val="000000"/>
          <w:sz w:val="21"/>
          <w:szCs w:val="21"/>
        </w:rPr>
        <w:t>Massimo Miani</w:t>
      </w:r>
      <w:r w:rsidRPr="00DB5357">
        <w:rPr>
          <w:rStyle w:val="bumpedfont15"/>
          <w:rFonts w:ascii="Arial" w:hAnsi="Arial" w:cs="Arial"/>
          <w:color w:val="000000"/>
          <w:sz w:val="21"/>
          <w:szCs w:val="21"/>
        </w:rPr>
        <w:t>, di istituzione di un “</w:t>
      </w:r>
      <w:r w:rsidRPr="00DB5357">
        <w:rPr>
          <w:rStyle w:val="bumpedfont15"/>
          <w:rFonts w:ascii="Arial" w:hAnsi="Arial" w:cs="Arial"/>
          <w:b/>
          <w:bCs/>
          <w:color w:val="000000"/>
          <w:sz w:val="21"/>
          <w:szCs w:val="21"/>
        </w:rPr>
        <w:t>superbonus della ricapitalizzazione delle imprese”</w:t>
      </w:r>
      <w:r w:rsidRPr="00DB5357">
        <w:rPr>
          <w:rStyle w:val="bumpedfont15"/>
          <w:rFonts w:ascii="Arial" w:hAnsi="Arial" w:cs="Arial"/>
          <w:color w:val="000000"/>
          <w:sz w:val="21"/>
          <w:szCs w:val="21"/>
        </w:rPr>
        <w:t>.</w:t>
      </w:r>
      <w:r w:rsidRPr="00DB5357">
        <w:rPr>
          <w:rFonts w:ascii="Arial" w:hAnsi="Arial" w:cs="Arial"/>
          <w:color w:val="000000"/>
          <w:sz w:val="21"/>
          <w:szCs w:val="21"/>
        </w:rPr>
        <w:t xml:space="preserve"> “</w:t>
      </w:r>
      <w:r w:rsidRPr="00DB5357">
        <w:rPr>
          <w:rStyle w:val="bumpedfont15"/>
          <w:rFonts w:ascii="Arial" w:hAnsi="Arial" w:cs="Arial"/>
          <w:color w:val="000000"/>
          <w:sz w:val="21"/>
          <w:szCs w:val="21"/>
        </w:rPr>
        <w:t xml:space="preserve">La capitalizzazione del sistema delle imprese – hanno affermato - costituisce un </w:t>
      </w:r>
      <w:r w:rsidRPr="00DB5357">
        <w:rPr>
          <w:rStyle w:val="bumpedfont15"/>
          <w:rFonts w:ascii="Arial" w:hAnsi="Arial" w:cs="Arial"/>
          <w:b/>
          <w:bCs/>
          <w:color w:val="000000"/>
          <w:sz w:val="21"/>
          <w:szCs w:val="21"/>
        </w:rPr>
        <w:t>obiettivo primario</w:t>
      </w:r>
      <w:r w:rsidRPr="00DB5357">
        <w:rPr>
          <w:rStyle w:val="bumpedfont15"/>
          <w:rFonts w:ascii="Arial" w:hAnsi="Arial" w:cs="Arial"/>
          <w:color w:val="000000"/>
          <w:sz w:val="21"/>
          <w:szCs w:val="21"/>
        </w:rPr>
        <w:t xml:space="preserve"> per le imprese e per i suoi creditori, tra i quali, seppure indirettamente, è ormai molto </w:t>
      </w:r>
      <w:r w:rsidRPr="00DB5357">
        <w:rPr>
          <w:rStyle w:val="bumpedfont15"/>
          <w:rFonts w:ascii="Arial" w:hAnsi="Arial" w:cs="Arial"/>
          <w:b/>
          <w:bCs/>
          <w:color w:val="000000"/>
          <w:sz w:val="21"/>
          <w:szCs w:val="21"/>
        </w:rPr>
        <w:t>forte il ruolo dello Stato</w:t>
      </w:r>
      <w:r w:rsidRPr="00DB5357">
        <w:rPr>
          <w:rStyle w:val="bumpedfont15"/>
          <w:rFonts w:ascii="Arial" w:hAnsi="Arial" w:cs="Arial"/>
          <w:color w:val="000000"/>
          <w:sz w:val="21"/>
          <w:szCs w:val="21"/>
        </w:rPr>
        <w:t>, quale garante di ultima istanza verso il settore bancario, per gli ingenti</w:t>
      </w:r>
      <w:r w:rsidRPr="00DB5357"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 w:rsidRPr="00DB5357">
        <w:rPr>
          <w:rStyle w:val="bumpedfont15"/>
          <w:rFonts w:ascii="Arial" w:hAnsi="Arial" w:cs="Arial"/>
          <w:color w:val="000000"/>
          <w:sz w:val="21"/>
          <w:szCs w:val="21"/>
        </w:rPr>
        <w:t>prestiti che sono stati rilasciati con garanzia statale.</w:t>
      </w:r>
    </w:p>
    <w:p w14:paraId="370F8BCF" w14:textId="77777777" w:rsidR="00DB5357" w:rsidRPr="00DB5357" w:rsidRDefault="00DB5357" w:rsidP="00DB5357">
      <w:pPr>
        <w:pStyle w:val="s17"/>
        <w:spacing w:before="0" w:beforeAutospacing="0" w:after="0" w:afterAutospacing="0"/>
        <w:jc w:val="both"/>
        <w:rPr>
          <w:rStyle w:val="bumpedfont15"/>
          <w:rFonts w:ascii="Arial" w:hAnsi="Arial" w:cs="Arial"/>
          <w:color w:val="000000"/>
          <w:sz w:val="21"/>
          <w:szCs w:val="21"/>
        </w:rPr>
      </w:pPr>
    </w:p>
    <w:p w14:paraId="4F425AA7" w14:textId="319187B2" w:rsidR="00DB5357" w:rsidRPr="00DB5357" w:rsidRDefault="00DB5357" w:rsidP="00DB5357">
      <w:pPr>
        <w:pStyle w:val="s17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DB5357">
        <w:rPr>
          <w:rStyle w:val="bumpedfont15"/>
          <w:rFonts w:ascii="Arial" w:hAnsi="Arial" w:cs="Arial"/>
          <w:color w:val="000000"/>
          <w:sz w:val="21"/>
          <w:szCs w:val="21"/>
        </w:rPr>
        <w:t xml:space="preserve">Un piano di incentivi alla ricapitalizzazione delle imprese, mediante le sovvenzioni UE, costituisce dunque il modo migliore per attuare </w:t>
      </w:r>
      <w:r w:rsidRPr="00DB5357">
        <w:rPr>
          <w:rStyle w:val="bumpedfont15"/>
          <w:rFonts w:ascii="Arial" w:hAnsi="Arial" w:cs="Arial"/>
          <w:b/>
          <w:bCs/>
          <w:color w:val="000000"/>
          <w:sz w:val="21"/>
          <w:szCs w:val="21"/>
        </w:rPr>
        <w:t xml:space="preserve">una scelta </w:t>
      </w:r>
      <w:proofErr w:type="spellStart"/>
      <w:r w:rsidRPr="00DB5357">
        <w:rPr>
          <w:rStyle w:val="bumpedfont15"/>
          <w:rFonts w:ascii="Arial" w:hAnsi="Arial" w:cs="Arial"/>
          <w:b/>
          <w:bCs/>
          <w:color w:val="000000"/>
          <w:sz w:val="21"/>
          <w:szCs w:val="21"/>
        </w:rPr>
        <w:t>win-win</w:t>
      </w:r>
      <w:proofErr w:type="spellEnd"/>
      <w:r w:rsidRPr="00DB5357">
        <w:rPr>
          <w:rStyle w:val="bumpedfont15"/>
          <w:rFonts w:ascii="Arial" w:hAnsi="Arial" w:cs="Arial"/>
          <w:color w:val="000000"/>
          <w:sz w:val="21"/>
          <w:szCs w:val="21"/>
        </w:rPr>
        <w:t xml:space="preserve"> </w:t>
      </w:r>
      <w:r w:rsidRPr="00DB5357">
        <w:rPr>
          <w:rStyle w:val="bumpedfont15"/>
          <w:rFonts w:ascii="Arial" w:hAnsi="Arial" w:cs="Arial"/>
          <w:b/>
          <w:bCs/>
          <w:color w:val="000000"/>
          <w:sz w:val="21"/>
          <w:szCs w:val="21"/>
        </w:rPr>
        <w:t>privato-pubblico</w:t>
      </w:r>
      <w:r w:rsidRPr="00DB5357">
        <w:rPr>
          <w:rStyle w:val="bumpedfont15"/>
          <w:rFonts w:ascii="Arial" w:hAnsi="Arial" w:cs="Arial"/>
          <w:color w:val="000000"/>
          <w:sz w:val="21"/>
          <w:szCs w:val="21"/>
        </w:rPr>
        <w:t>, perché rafforza la solidità delle imprese e la loro capacità di rimborso dell’indebitamento, evitando al contempo allo Stato di dover intervenire con risorse proprie a copertura delle garanzie che verrebbero attivate dal sistema bancario nel caso in cui le imprese debitrici non</w:t>
      </w:r>
      <w:r w:rsidRPr="00DB5357"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 w:rsidRPr="00DB5357">
        <w:rPr>
          <w:rStyle w:val="bumpedfont15"/>
          <w:rFonts w:ascii="Arial" w:hAnsi="Arial" w:cs="Arial"/>
          <w:color w:val="000000"/>
          <w:sz w:val="21"/>
          <w:szCs w:val="21"/>
        </w:rPr>
        <w:t>fossero in grado</w:t>
      </w:r>
      <w:r w:rsidRPr="00DB5357"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 w:rsidRPr="00DB5357">
        <w:rPr>
          <w:rStyle w:val="bumpedfont15"/>
          <w:rFonts w:ascii="Arial" w:hAnsi="Arial" w:cs="Arial"/>
          <w:color w:val="000000"/>
          <w:sz w:val="21"/>
          <w:szCs w:val="21"/>
        </w:rPr>
        <w:t>di onorare i propri debiti”.</w:t>
      </w:r>
      <w:r w:rsidRPr="00DB5357">
        <w:rPr>
          <w:rFonts w:ascii="Arial" w:hAnsi="Arial" w:cs="Arial"/>
          <w:color w:val="000000"/>
          <w:sz w:val="21"/>
          <w:szCs w:val="21"/>
        </w:rPr>
        <w:t> </w:t>
      </w:r>
    </w:p>
    <w:p w14:paraId="66D19877" w14:textId="77777777" w:rsidR="00DB5357" w:rsidRPr="00DB5357" w:rsidRDefault="00DB5357" w:rsidP="00DB5357">
      <w:pPr>
        <w:pStyle w:val="s17"/>
        <w:spacing w:before="0" w:beforeAutospacing="0" w:after="0" w:afterAutospacing="0"/>
        <w:jc w:val="both"/>
        <w:rPr>
          <w:rStyle w:val="bumpedfont15"/>
          <w:rFonts w:ascii="Arial" w:hAnsi="Arial" w:cs="Arial"/>
          <w:color w:val="000000"/>
          <w:sz w:val="21"/>
          <w:szCs w:val="21"/>
        </w:rPr>
      </w:pPr>
    </w:p>
    <w:p w14:paraId="768A816D" w14:textId="6A735D5D" w:rsidR="00DB5357" w:rsidRPr="00DB5357" w:rsidRDefault="00DB5357" w:rsidP="00DB5357">
      <w:pPr>
        <w:pStyle w:val="s17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DB5357">
        <w:rPr>
          <w:rStyle w:val="bumpedfont15"/>
          <w:rFonts w:ascii="Arial" w:hAnsi="Arial" w:cs="Arial"/>
          <w:color w:val="000000"/>
          <w:sz w:val="21"/>
          <w:szCs w:val="21"/>
        </w:rPr>
        <w:t xml:space="preserve">Per funzionare, hanno spiegato Gelosa e Postal “il meccanismo dovrebbe però essere </w:t>
      </w:r>
      <w:r w:rsidRPr="00DB5357">
        <w:rPr>
          <w:rStyle w:val="bumpedfont15"/>
          <w:rFonts w:ascii="Arial" w:hAnsi="Arial" w:cs="Arial"/>
          <w:b/>
          <w:bCs/>
          <w:color w:val="000000"/>
          <w:sz w:val="21"/>
          <w:szCs w:val="21"/>
        </w:rPr>
        <w:t>estremamente semplice e l’incentivo estremamente premiante</w:t>
      </w:r>
      <w:r w:rsidRPr="00DB5357">
        <w:rPr>
          <w:rStyle w:val="bumpedfont15"/>
          <w:rFonts w:ascii="Arial" w:hAnsi="Arial" w:cs="Arial"/>
          <w:color w:val="000000"/>
          <w:sz w:val="21"/>
          <w:szCs w:val="21"/>
        </w:rPr>
        <w:t>, come dimostra lo scarso appeal di strumenti simili recentemente introdotti, ma straordinariamente</w:t>
      </w:r>
      <w:r w:rsidRPr="00DB5357"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 w:rsidRPr="00DB5357">
        <w:rPr>
          <w:rStyle w:val="bumpedfont15"/>
          <w:rFonts w:ascii="Arial" w:hAnsi="Arial" w:cs="Arial"/>
          <w:color w:val="000000"/>
          <w:sz w:val="21"/>
          <w:szCs w:val="21"/>
        </w:rPr>
        <w:t>complessi e non sufficientemente premianti.</w:t>
      </w:r>
      <w:r w:rsidRPr="00DB5357">
        <w:rPr>
          <w:rFonts w:ascii="Arial" w:hAnsi="Arial" w:cs="Arial"/>
          <w:color w:val="000000"/>
          <w:sz w:val="21"/>
          <w:szCs w:val="21"/>
        </w:rPr>
        <w:t xml:space="preserve"> </w:t>
      </w:r>
      <w:r w:rsidRPr="00DB5357">
        <w:rPr>
          <w:rStyle w:val="bumpedfont15"/>
          <w:rFonts w:ascii="Arial" w:hAnsi="Arial" w:cs="Arial"/>
          <w:color w:val="000000"/>
          <w:sz w:val="21"/>
          <w:szCs w:val="21"/>
        </w:rPr>
        <w:t>Servirebbe un vero e proprio “</w:t>
      </w:r>
      <w:r w:rsidRPr="00DB5357">
        <w:rPr>
          <w:rStyle w:val="bumpedfont15"/>
          <w:rFonts w:ascii="Arial" w:hAnsi="Arial" w:cs="Arial"/>
          <w:b/>
          <w:bCs/>
          <w:color w:val="000000"/>
          <w:sz w:val="21"/>
          <w:szCs w:val="21"/>
        </w:rPr>
        <w:t>superbonus della ricapitalizzazione delle imprese</w:t>
      </w:r>
      <w:r w:rsidRPr="00DB5357">
        <w:rPr>
          <w:rStyle w:val="bumpedfont15"/>
          <w:rFonts w:ascii="Arial" w:hAnsi="Arial" w:cs="Arial"/>
          <w:color w:val="000000"/>
          <w:sz w:val="21"/>
          <w:szCs w:val="21"/>
        </w:rPr>
        <w:t>”, tale per cui, per ogni euro di aumento di capitale viene riconosciuto un euro di contributo pubblico (da appostare in una riserva</w:t>
      </w:r>
      <w:r w:rsidRPr="00DB5357"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 w:rsidRPr="00DB5357">
        <w:rPr>
          <w:rStyle w:val="bumpedfont15"/>
          <w:rFonts w:ascii="Arial" w:hAnsi="Arial" w:cs="Arial"/>
          <w:color w:val="000000"/>
          <w:sz w:val="21"/>
          <w:szCs w:val="21"/>
        </w:rPr>
        <w:t>di</w:t>
      </w:r>
      <w:r w:rsidRPr="00DB5357"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 w:rsidRPr="00DB5357">
        <w:rPr>
          <w:rStyle w:val="bumpedfont15"/>
          <w:rFonts w:ascii="Arial" w:hAnsi="Arial" w:cs="Arial"/>
          <w:color w:val="000000"/>
          <w:sz w:val="21"/>
          <w:szCs w:val="21"/>
        </w:rPr>
        <w:t>patrimonio netto non distribuibile), nella forma di credito di imposta cedibile a terzi, ivi comprese banche e istituti di credito (su modello superbonus edilizio)”.</w:t>
      </w:r>
      <w:r w:rsidRPr="00DB5357">
        <w:rPr>
          <w:rFonts w:ascii="Arial" w:hAnsi="Arial" w:cs="Arial"/>
          <w:color w:val="000000"/>
          <w:sz w:val="21"/>
          <w:szCs w:val="21"/>
        </w:rPr>
        <w:t> </w:t>
      </w:r>
    </w:p>
    <w:p w14:paraId="68750FF8" w14:textId="77777777" w:rsidR="00DB5357" w:rsidRPr="00DB5357" w:rsidRDefault="00DB5357" w:rsidP="00DB5357">
      <w:pPr>
        <w:pStyle w:val="s17"/>
        <w:spacing w:before="0" w:beforeAutospacing="0" w:after="0" w:afterAutospacing="0"/>
        <w:jc w:val="both"/>
        <w:rPr>
          <w:rStyle w:val="bumpedfont15"/>
          <w:rFonts w:ascii="Arial" w:hAnsi="Arial" w:cs="Arial"/>
          <w:color w:val="000000"/>
          <w:sz w:val="21"/>
          <w:szCs w:val="21"/>
        </w:rPr>
      </w:pPr>
    </w:p>
    <w:p w14:paraId="7670C369" w14:textId="11D30BB6" w:rsidR="00DB5357" w:rsidRPr="00DB5357" w:rsidRDefault="00DB5357" w:rsidP="00DB5357">
      <w:pPr>
        <w:pStyle w:val="s17"/>
        <w:spacing w:before="0" w:beforeAutospacing="0" w:after="0" w:afterAutospacing="0"/>
        <w:jc w:val="both"/>
        <w:rPr>
          <w:rStyle w:val="bumpedfont15"/>
          <w:rFonts w:ascii="Arial" w:hAnsi="Arial" w:cs="Arial"/>
          <w:color w:val="000000"/>
          <w:sz w:val="21"/>
          <w:szCs w:val="21"/>
        </w:rPr>
      </w:pPr>
      <w:r w:rsidRPr="00DB5357">
        <w:rPr>
          <w:rStyle w:val="bumpedfont15"/>
          <w:rFonts w:ascii="Arial" w:hAnsi="Arial" w:cs="Arial"/>
          <w:color w:val="000000"/>
          <w:sz w:val="21"/>
          <w:szCs w:val="21"/>
        </w:rPr>
        <w:t xml:space="preserve">“Unici accorgimenti – hanno proseguito - in un meccanismo normativo che deve essere il più lineare e </w:t>
      </w:r>
      <w:bookmarkStart w:id="2" w:name="_GoBack"/>
      <w:bookmarkEnd w:id="2"/>
      <w:r w:rsidRPr="00DB5357">
        <w:rPr>
          <w:rStyle w:val="bumpedfont15"/>
          <w:rFonts w:ascii="Arial" w:hAnsi="Arial" w:cs="Arial"/>
          <w:color w:val="000000"/>
          <w:sz w:val="21"/>
          <w:szCs w:val="21"/>
        </w:rPr>
        <w:t>semplice</w:t>
      </w:r>
      <w:r w:rsidRPr="00DB5357"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 w:rsidRPr="00DB5357">
        <w:rPr>
          <w:rStyle w:val="bumpedfont15"/>
          <w:rFonts w:ascii="Arial" w:hAnsi="Arial" w:cs="Arial"/>
          <w:color w:val="000000"/>
          <w:sz w:val="21"/>
          <w:szCs w:val="21"/>
        </w:rPr>
        <w:t>possibile, sarebbero quelli volti ad evitare “</w:t>
      </w:r>
      <w:r w:rsidRPr="00DB5357">
        <w:rPr>
          <w:rStyle w:val="bumpedfont15"/>
          <w:rFonts w:ascii="Arial" w:hAnsi="Arial" w:cs="Arial"/>
          <w:b/>
          <w:bCs/>
          <w:color w:val="000000"/>
          <w:sz w:val="21"/>
          <w:szCs w:val="21"/>
        </w:rPr>
        <w:t>effetti moltiplicativi fittizi</w:t>
      </w:r>
      <w:r w:rsidRPr="00DB5357">
        <w:rPr>
          <w:rStyle w:val="bumpedfont15"/>
          <w:rFonts w:ascii="Arial" w:hAnsi="Arial" w:cs="Arial"/>
          <w:color w:val="000000"/>
          <w:sz w:val="21"/>
          <w:szCs w:val="21"/>
        </w:rPr>
        <w:t>” nelle catene partecipative, prevedendo che una società, la quale abbia fruito del superbonus ricapitalizzazioni, se ricapitalizza una propria partecipata, attribuisce a quest’ultima un superbonus del 100% solo per la parte di apporto di capitale eventualmente eccedente l’aumento di capitale che è stato agevolato in capo ad essa.</w:t>
      </w:r>
      <w:r w:rsidRPr="00DB5357">
        <w:rPr>
          <w:rFonts w:ascii="Arial" w:hAnsi="Arial" w:cs="Arial"/>
          <w:color w:val="000000"/>
          <w:sz w:val="21"/>
          <w:szCs w:val="21"/>
        </w:rPr>
        <w:t xml:space="preserve"> </w:t>
      </w:r>
      <w:r w:rsidRPr="00DB5357">
        <w:rPr>
          <w:rStyle w:val="bumpedfont15"/>
          <w:rFonts w:ascii="Arial" w:hAnsi="Arial" w:cs="Arial"/>
          <w:color w:val="000000"/>
          <w:sz w:val="21"/>
          <w:szCs w:val="21"/>
        </w:rPr>
        <w:t>Eventualmente, per concentrare maggiormente le risorse (mantenendo elevato e quindi “irrifiutabile”</w:t>
      </w:r>
      <w:r w:rsidRPr="00DB5357"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 w:rsidRPr="00DB5357">
        <w:rPr>
          <w:rStyle w:val="bumpedfont15"/>
          <w:rFonts w:ascii="Arial" w:hAnsi="Arial" w:cs="Arial"/>
          <w:color w:val="000000"/>
          <w:sz w:val="21"/>
          <w:szCs w:val="21"/>
        </w:rPr>
        <w:t xml:space="preserve">l’occasione di cogliere l’incentivo), si potrebbe prevedere una </w:t>
      </w:r>
      <w:r w:rsidRPr="00DB5357">
        <w:rPr>
          <w:rStyle w:val="bumpedfont15"/>
          <w:rFonts w:ascii="Arial" w:hAnsi="Arial" w:cs="Arial"/>
          <w:b/>
          <w:bCs/>
          <w:color w:val="000000"/>
          <w:sz w:val="21"/>
          <w:szCs w:val="21"/>
        </w:rPr>
        <w:t xml:space="preserve">limitazione della platea soggettiva </w:t>
      </w:r>
      <w:r w:rsidRPr="00DB5357">
        <w:rPr>
          <w:rStyle w:val="bumpedfont15"/>
          <w:rFonts w:ascii="Arial" w:hAnsi="Arial" w:cs="Arial"/>
          <w:color w:val="000000"/>
          <w:sz w:val="21"/>
          <w:szCs w:val="21"/>
        </w:rPr>
        <w:t>alle sole imprese che, nel 2020, rispetto al 2019, hanno avuto un calo di fatturato oltre una determinata soglia e hanno registrato un aumento del rapporto</w:t>
      </w:r>
      <w:r w:rsidRPr="00DB5357"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 w:rsidRPr="00DB5357">
        <w:rPr>
          <w:rStyle w:val="bumpedfont15"/>
          <w:rFonts w:ascii="Arial" w:hAnsi="Arial" w:cs="Arial"/>
          <w:color w:val="000000"/>
          <w:sz w:val="21"/>
          <w:szCs w:val="21"/>
        </w:rPr>
        <w:t>capitale di debito / mezzi propri superiore a una determinata soglia (fermo restando che non devono avere un rapporto deteriorato al punto da rientrare nella nozione comunitaria di società già in difficoltà).</w:t>
      </w:r>
    </w:p>
    <w:p w14:paraId="0C6D021C" w14:textId="77777777" w:rsidR="00DB5357" w:rsidRPr="00DB5357" w:rsidRDefault="00DB5357" w:rsidP="00DB5357">
      <w:pPr>
        <w:pStyle w:val="s17"/>
        <w:spacing w:before="0" w:beforeAutospacing="0" w:after="0" w:afterAutospacing="0"/>
        <w:jc w:val="both"/>
        <w:rPr>
          <w:rStyle w:val="bumpedfont15"/>
          <w:rFonts w:ascii="Arial" w:hAnsi="Arial" w:cs="Arial"/>
          <w:color w:val="000000"/>
          <w:sz w:val="21"/>
          <w:szCs w:val="21"/>
        </w:rPr>
      </w:pPr>
    </w:p>
    <w:p w14:paraId="33D8DBB8" w14:textId="6DF2888A" w:rsidR="00DB5357" w:rsidRPr="00DB5357" w:rsidRDefault="00DB5357" w:rsidP="00DB5357">
      <w:pPr>
        <w:pStyle w:val="s17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DB5357">
        <w:rPr>
          <w:rStyle w:val="bumpedfont15"/>
          <w:rFonts w:ascii="Arial" w:hAnsi="Arial" w:cs="Arial"/>
          <w:color w:val="000000"/>
          <w:sz w:val="21"/>
          <w:szCs w:val="21"/>
        </w:rPr>
        <w:t>“Sarebbe il modo migliore di investire una parte</w:t>
      </w:r>
      <w:r w:rsidRPr="00DB5357"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 w:rsidRPr="00DB5357">
        <w:rPr>
          <w:rStyle w:val="bumpedfont15"/>
          <w:rFonts w:ascii="Arial" w:hAnsi="Arial" w:cs="Arial"/>
          <w:color w:val="000000"/>
          <w:sz w:val="21"/>
          <w:szCs w:val="21"/>
        </w:rPr>
        <w:t xml:space="preserve">cospicua delle sovvenzioni a fondo perduto UE”, hanno concluso Gelosa e Postal. “Lo Stato si tutelerebbe rispetto alle </w:t>
      </w:r>
      <w:r w:rsidRPr="00DB5357">
        <w:rPr>
          <w:rStyle w:val="bumpedfont15"/>
          <w:rFonts w:ascii="Arial" w:hAnsi="Arial" w:cs="Arial"/>
          <w:b/>
          <w:bCs/>
          <w:color w:val="000000"/>
          <w:sz w:val="21"/>
          <w:szCs w:val="21"/>
        </w:rPr>
        <w:t xml:space="preserve">esposizioni </w:t>
      </w:r>
      <w:r w:rsidRPr="00DB5357">
        <w:rPr>
          <w:rStyle w:val="bumpedfont15"/>
          <w:rFonts w:ascii="Arial" w:hAnsi="Arial" w:cs="Arial"/>
          <w:color w:val="000000"/>
          <w:sz w:val="21"/>
          <w:szCs w:val="21"/>
        </w:rPr>
        <w:t xml:space="preserve">che ha come garante, le imprese reggerebbero nei prossimi anni la sfida della </w:t>
      </w:r>
      <w:r w:rsidRPr="00DB5357">
        <w:rPr>
          <w:rStyle w:val="bumpedfont15"/>
          <w:rFonts w:ascii="Arial" w:hAnsi="Arial" w:cs="Arial"/>
          <w:b/>
          <w:bCs/>
          <w:color w:val="000000"/>
          <w:sz w:val="21"/>
          <w:szCs w:val="21"/>
        </w:rPr>
        <w:t xml:space="preserve">ripartenza e del contemporaneo pagamento dei debiti contratti </w:t>
      </w:r>
      <w:r w:rsidRPr="00DB5357">
        <w:rPr>
          <w:rStyle w:val="bumpedfont15"/>
          <w:rFonts w:ascii="Arial" w:hAnsi="Arial" w:cs="Arial"/>
          <w:color w:val="000000"/>
          <w:sz w:val="21"/>
          <w:szCs w:val="21"/>
        </w:rPr>
        <w:t>per sopravvivere</w:t>
      </w:r>
      <w:r w:rsidRPr="00DB5357"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 w:rsidRPr="00DB5357">
        <w:rPr>
          <w:rStyle w:val="bumpedfont15"/>
          <w:rFonts w:ascii="Arial" w:hAnsi="Arial" w:cs="Arial"/>
          <w:color w:val="000000"/>
          <w:sz w:val="21"/>
          <w:szCs w:val="21"/>
        </w:rPr>
        <w:t xml:space="preserve">nella fase di massima difficolta e, alla fine del periodo di rimborso dei prestiti garantiti, avremmo uno Stato con </w:t>
      </w:r>
      <w:r w:rsidRPr="00DB5357">
        <w:rPr>
          <w:rStyle w:val="bumpedfont15"/>
          <w:rFonts w:ascii="Arial" w:hAnsi="Arial" w:cs="Arial"/>
          <w:b/>
          <w:bCs/>
          <w:color w:val="000000"/>
          <w:sz w:val="21"/>
          <w:szCs w:val="21"/>
        </w:rPr>
        <w:t>meno deficit e debito</w:t>
      </w:r>
      <w:r w:rsidRPr="00DB5357">
        <w:rPr>
          <w:rStyle w:val="bumpedfont15"/>
          <w:rFonts w:ascii="Arial" w:hAnsi="Arial" w:cs="Arial"/>
          <w:color w:val="000000"/>
          <w:sz w:val="21"/>
          <w:szCs w:val="21"/>
        </w:rPr>
        <w:t xml:space="preserve"> di quello che altrimenti avrebbe e imprese più capitalizzate di quello che altrimenti sarebbero”.</w:t>
      </w:r>
      <w:r w:rsidRPr="00DB5357">
        <w:rPr>
          <w:rFonts w:ascii="Arial" w:hAnsi="Arial" w:cs="Arial"/>
          <w:color w:val="000000"/>
          <w:sz w:val="21"/>
          <w:szCs w:val="21"/>
        </w:rPr>
        <w:t> </w:t>
      </w:r>
    </w:p>
    <w:p w14:paraId="7276701A" w14:textId="2A6B46F9" w:rsidR="00B3271C" w:rsidRPr="00DB5357" w:rsidRDefault="00620A58" w:rsidP="00DB5357">
      <w:pPr>
        <w:jc w:val="both"/>
        <w:rPr>
          <w:rFonts w:ascii="Arial" w:hAnsi="Arial" w:cs="Arial"/>
          <w:sz w:val="21"/>
          <w:szCs w:val="21"/>
        </w:rPr>
      </w:pPr>
    </w:p>
    <w:p w14:paraId="2AE1C5CA" w14:textId="77777777" w:rsidR="00DB5357" w:rsidRPr="00DB5357" w:rsidRDefault="00DB5357" w:rsidP="00DB5357">
      <w:pPr>
        <w:rPr>
          <w:rStyle w:val="Enfasigrassetto"/>
          <w:rFonts w:ascii="Arial" w:hAnsi="Arial" w:cs="Arial"/>
          <w:sz w:val="21"/>
          <w:szCs w:val="21"/>
          <w:shd w:val="clear" w:color="auto" w:fill="FFFFFF"/>
        </w:rPr>
      </w:pPr>
    </w:p>
    <w:p w14:paraId="073029BC" w14:textId="4CF695E8" w:rsidR="00D6319A" w:rsidRDefault="00D6319A" w:rsidP="00DB5357">
      <w:pPr>
        <w:rPr>
          <w:rFonts w:ascii="Arial" w:hAnsi="Arial" w:cs="Arial"/>
          <w:sz w:val="21"/>
          <w:szCs w:val="21"/>
        </w:rPr>
      </w:pPr>
      <w:r w:rsidRPr="00D6319A">
        <w:rPr>
          <w:rStyle w:val="Enfasigrassetto"/>
          <w:rFonts w:ascii="Arial" w:hAnsi="Arial" w:cs="Arial"/>
          <w:sz w:val="21"/>
          <w:szCs w:val="21"/>
          <w:shd w:val="clear" w:color="auto" w:fill="FFFFFF"/>
        </w:rPr>
        <w:t>Mauro Parracino</w:t>
      </w:r>
      <w:r w:rsidRPr="00D6319A">
        <w:rPr>
          <w:rFonts w:ascii="Arial" w:hAnsi="Arial" w:cs="Arial"/>
          <w:sz w:val="21"/>
          <w:szCs w:val="21"/>
        </w:rPr>
        <w:br/>
      </w:r>
      <w:r w:rsidRPr="00D6319A">
        <w:rPr>
          <w:rStyle w:val="Enfasicorsivo"/>
          <w:rFonts w:ascii="Arial" w:hAnsi="Arial" w:cs="Arial"/>
          <w:i w:val="0"/>
          <w:iCs w:val="0"/>
          <w:sz w:val="21"/>
          <w:szCs w:val="21"/>
          <w:shd w:val="clear" w:color="auto" w:fill="FFFFFF"/>
        </w:rPr>
        <w:t>Responsabile Ufficio Stampa</w:t>
      </w:r>
      <w:r w:rsidRPr="00D6319A">
        <w:rPr>
          <w:rFonts w:ascii="Arial" w:hAnsi="Arial" w:cs="Arial"/>
          <w:i/>
          <w:iCs/>
          <w:sz w:val="21"/>
          <w:szCs w:val="21"/>
        </w:rPr>
        <w:br/>
      </w:r>
      <w:r w:rsidRPr="00D6319A">
        <w:rPr>
          <w:rFonts w:ascii="Arial" w:hAnsi="Arial" w:cs="Arial"/>
          <w:sz w:val="21"/>
          <w:szCs w:val="21"/>
          <w:shd w:val="clear" w:color="auto" w:fill="FFFFFF"/>
        </w:rPr>
        <w:t>06.47863627</w:t>
      </w:r>
      <w:r w:rsidRPr="00D6319A">
        <w:rPr>
          <w:rFonts w:ascii="Arial" w:hAnsi="Arial" w:cs="Arial"/>
          <w:sz w:val="21"/>
          <w:szCs w:val="21"/>
        </w:rPr>
        <w:br/>
      </w:r>
      <w:hyperlink r:id="rId6" w:history="1">
        <w:r w:rsidRPr="00D6319A">
          <w:rPr>
            <w:rStyle w:val="Collegamentoipertestuale"/>
            <w:rFonts w:ascii="Arial" w:hAnsi="Arial" w:cs="Arial"/>
            <w:color w:val="auto"/>
            <w:sz w:val="21"/>
            <w:szCs w:val="21"/>
            <w:shd w:val="clear" w:color="auto" w:fill="FFFFFF"/>
          </w:rPr>
          <w:t>parracino@commercialisti.it</w:t>
        </w:r>
      </w:hyperlink>
    </w:p>
    <w:p w14:paraId="3FFE60DD" w14:textId="77777777" w:rsidR="00D6319A" w:rsidRPr="00D6319A" w:rsidRDefault="00D6319A" w:rsidP="00D6319A">
      <w:pPr>
        <w:rPr>
          <w:rFonts w:ascii="Arial" w:hAnsi="Arial" w:cs="Arial"/>
          <w:sz w:val="21"/>
          <w:szCs w:val="21"/>
        </w:rPr>
      </w:pPr>
    </w:p>
    <w:sectPr w:rsidR="00D6319A" w:rsidRPr="00D6319A" w:rsidSect="00986D90">
      <w:headerReference w:type="default" r:id="rId7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125A73" w14:textId="77777777" w:rsidR="00620A58" w:rsidRDefault="00620A58" w:rsidP="00627996">
      <w:r>
        <w:separator/>
      </w:r>
    </w:p>
  </w:endnote>
  <w:endnote w:type="continuationSeparator" w:id="0">
    <w:p w14:paraId="200ACA13" w14:textId="77777777" w:rsidR="00620A58" w:rsidRDefault="00620A58" w:rsidP="00627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D22521" w14:textId="77777777" w:rsidR="00620A58" w:rsidRDefault="00620A58" w:rsidP="00627996">
      <w:r>
        <w:separator/>
      </w:r>
    </w:p>
  </w:footnote>
  <w:footnote w:type="continuationSeparator" w:id="0">
    <w:p w14:paraId="5DEE5511" w14:textId="77777777" w:rsidR="00620A58" w:rsidRDefault="00620A58" w:rsidP="00627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66FF77" w14:textId="77777777" w:rsidR="00627996" w:rsidRDefault="00627996">
    <w:pPr>
      <w:pStyle w:val="Intestazione"/>
    </w:pPr>
    <w:r w:rsidRPr="00A945F8">
      <w:rPr>
        <w:noProof/>
      </w:rPr>
      <w:drawing>
        <wp:inline distT="0" distB="0" distL="0" distR="0" wp14:anchorId="52B6B587" wp14:editId="465ECB3E">
          <wp:extent cx="6116320" cy="970311"/>
          <wp:effectExtent l="0" t="0" r="0" b="1270"/>
          <wp:docPr id="2" name="Immagine 2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9703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7EC"/>
    <w:rsid w:val="001B3759"/>
    <w:rsid w:val="001D0C92"/>
    <w:rsid w:val="00206248"/>
    <w:rsid w:val="00237BEE"/>
    <w:rsid w:val="002B1170"/>
    <w:rsid w:val="002B1507"/>
    <w:rsid w:val="002E31F2"/>
    <w:rsid w:val="002F5F5A"/>
    <w:rsid w:val="003248FA"/>
    <w:rsid w:val="003C2FC0"/>
    <w:rsid w:val="003D5F58"/>
    <w:rsid w:val="00440225"/>
    <w:rsid w:val="004E7DE1"/>
    <w:rsid w:val="00595991"/>
    <w:rsid w:val="00620A58"/>
    <w:rsid w:val="00627996"/>
    <w:rsid w:val="00656CC5"/>
    <w:rsid w:val="00734687"/>
    <w:rsid w:val="007E279B"/>
    <w:rsid w:val="00986D90"/>
    <w:rsid w:val="009D1104"/>
    <w:rsid w:val="009F27EC"/>
    <w:rsid w:val="00AC6BB0"/>
    <w:rsid w:val="00AD663D"/>
    <w:rsid w:val="00C139E4"/>
    <w:rsid w:val="00D0285A"/>
    <w:rsid w:val="00D41E98"/>
    <w:rsid w:val="00D6319A"/>
    <w:rsid w:val="00D84F7E"/>
    <w:rsid w:val="00DB4B99"/>
    <w:rsid w:val="00DB5357"/>
    <w:rsid w:val="00E3770D"/>
    <w:rsid w:val="00F44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198D8"/>
  <w14:defaultImageDpi w14:val="32767"/>
  <w15:chartTrackingRefBased/>
  <w15:docId w15:val="{0D396238-AB16-4B4D-83B2-F6752D63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9F27E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7996"/>
  </w:style>
  <w:style w:type="paragraph" w:styleId="Pidipagina">
    <w:name w:val="footer"/>
    <w:basedOn w:val="Normale"/>
    <w:link w:val="Pidipagina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7996"/>
  </w:style>
  <w:style w:type="paragraph" w:customStyle="1" w:styleId="s17">
    <w:name w:val="s17"/>
    <w:basedOn w:val="Normale"/>
    <w:uiPriority w:val="99"/>
    <w:rsid w:val="007E279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bumpedfont15">
    <w:name w:val="bumpedfont15"/>
    <w:basedOn w:val="Carpredefinitoparagrafo"/>
    <w:rsid w:val="007E279B"/>
  </w:style>
  <w:style w:type="character" w:customStyle="1" w:styleId="apple-converted-space">
    <w:name w:val="apple-converted-space"/>
    <w:basedOn w:val="Carpredefinitoparagrafo"/>
    <w:rsid w:val="007E279B"/>
  </w:style>
  <w:style w:type="character" w:styleId="Enfasigrassetto">
    <w:name w:val="Strong"/>
    <w:basedOn w:val="Carpredefinitoparagrafo"/>
    <w:uiPriority w:val="22"/>
    <w:qFormat/>
    <w:rsid w:val="00D6319A"/>
    <w:rPr>
      <w:b/>
      <w:bCs/>
    </w:rPr>
  </w:style>
  <w:style w:type="character" w:styleId="Enfasicorsivo">
    <w:name w:val="Emphasis"/>
    <w:basedOn w:val="Carpredefinitoparagrafo"/>
    <w:uiPriority w:val="20"/>
    <w:qFormat/>
    <w:rsid w:val="00D6319A"/>
    <w:rPr>
      <w:i/>
      <w:iCs/>
    </w:rPr>
  </w:style>
  <w:style w:type="character" w:styleId="Collegamentoipertestuale">
    <w:name w:val="Hyperlink"/>
    <w:basedOn w:val="Carpredefinitoparagrafo"/>
    <w:uiPriority w:val="99"/>
    <w:semiHidden/>
    <w:unhideWhenUsed/>
    <w:rsid w:val="00D631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73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0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rracino@commercialisti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Parracino Mauro</dc:creator>
  <cp:keywords/>
  <dc:description/>
  <cp:lastModifiedBy>Mastrogiacomo Tiziana</cp:lastModifiedBy>
  <cp:revision>2</cp:revision>
  <dcterms:created xsi:type="dcterms:W3CDTF">2020-11-06T13:39:00Z</dcterms:created>
  <dcterms:modified xsi:type="dcterms:W3CDTF">2020-11-06T13:39:00Z</dcterms:modified>
</cp:coreProperties>
</file>