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9B1C" w14:textId="77777777" w:rsidR="003334AD" w:rsidRDefault="003334AD">
      <w:pPr>
        <w:pStyle w:val="Default"/>
        <w:rPr>
          <w:rFonts w:ascii="Times New Roman" w:hAnsi="Times New Roman" w:cs="Times New Roman"/>
          <w:iCs/>
        </w:rPr>
      </w:pPr>
    </w:p>
    <w:p w14:paraId="38B76C52" w14:textId="77777777" w:rsidR="007F05E1" w:rsidRDefault="007F05E1" w:rsidP="007F05E1"/>
    <w:p w14:paraId="6FC355E3" w14:textId="77777777" w:rsidR="007F05E1" w:rsidRPr="007F05E1" w:rsidRDefault="007F05E1" w:rsidP="007F05E1">
      <w:pPr>
        <w:rPr>
          <w:rFonts w:ascii="Arial" w:hAnsi="Arial" w:cs="Arial"/>
          <w:sz w:val="24"/>
          <w:szCs w:val="24"/>
        </w:rPr>
      </w:pPr>
    </w:p>
    <w:p w14:paraId="6E6DBDC0" w14:textId="77777777" w:rsidR="007825B6" w:rsidRDefault="007825B6" w:rsidP="007825B6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it-IT"/>
        </w:rPr>
      </w:pPr>
      <w:r w:rsidRPr="00CA0C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it-IT"/>
        </w:rPr>
        <w:t>Comunicato stampa </w:t>
      </w:r>
    </w:p>
    <w:p w14:paraId="4634494C" w14:textId="77777777" w:rsidR="007825B6" w:rsidRDefault="007825B6" w:rsidP="007825B6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it-IT"/>
        </w:rPr>
      </w:pPr>
    </w:p>
    <w:p w14:paraId="63607116" w14:textId="77777777" w:rsidR="007825B6" w:rsidRDefault="007825B6" w:rsidP="007825B6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ANTIRICICLAGGIO, AL VIA TAVOLO TECNICO MEF – AVVOCATI, COMMERCIALISTI E NOTAI</w:t>
      </w:r>
    </w:p>
    <w:p w14:paraId="5F85945A" w14:textId="77777777" w:rsidR="007825B6" w:rsidRDefault="007825B6" w:rsidP="007825B6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Le tre professioni soddisfatte: “C’è la volontà di semplificare un sistema eccessivamente oneroso” </w:t>
      </w:r>
    </w:p>
    <w:p w14:paraId="6A9B1D66" w14:textId="77777777" w:rsidR="007825B6" w:rsidRPr="003C7980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5BC3C884" w14:textId="22DE3014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3C7980">
        <w:rPr>
          <w:rFonts w:ascii="Arial" w:hAnsi="Arial" w:cs="Arial"/>
          <w:i/>
          <w:iCs/>
          <w:color w:val="242424"/>
        </w:rPr>
        <w:t>Roma</w:t>
      </w:r>
      <w:r w:rsidR="0008706C">
        <w:rPr>
          <w:rFonts w:ascii="Arial" w:hAnsi="Arial" w:cs="Arial"/>
          <w:i/>
          <w:iCs/>
          <w:color w:val="242424"/>
        </w:rPr>
        <w:t>, 6</w:t>
      </w:r>
      <w:r w:rsidRPr="003C7980">
        <w:rPr>
          <w:rFonts w:ascii="Arial" w:hAnsi="Arial" w:cs="Arial"/>
          <w:i/>
          <w:iCs/>
          <w:color w:val="242424"/>
        </w:rPr>
        <w:t xml:space="preserve"> ottobre 2023 </w:t>
      </w:r>
      <w:r>
        <w:rPr>
          <w:rFonts w:ascii="Arial" w:hAnsi="Arial" w:cs="Arial"/>
          <w:i/>
          <w:iCs/>
          <w:color w:val="242424"/>
        </w:rPr>
        <w:t>–</w:t>
      </w:r>
      <w:r w:rsidRPr="003C7980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 xml:space="preserve">Con una riunione tenutasi nei giorni scorsi ha preso il via il tavolo tecnico sulla </w:t>
      </w:r>
      <w:r w:rsidRPr="007825B6">
        <w:rPr>
          <w:rFonts w:ascii="Arial" w:hAnsi="Arial" w:cs="Arial"/>
          <w:b/>
          <w:bCs/>
          <w:color w:val="242424"/>
        </w:rPr>
        <w:t>normativa antiriciclaggio</w:t>
      </w:r>
      <w:r>
        <w:rPr>
          <w:rFonts w:ascii="Arial" w:hAnsi="Arial" w:cs="Arial"/>
          <w:color w:val="242424"/>
        </w:rPr>
        <w:t xml:space="preserve"> tra il </w:t>
      </w:r>
      <w:r w:rsidRPr="007825B6">
        <w:rPr>
          <w:rFonts w:ascii="Arial" w:hAnsi="Arial" w:cs="Arial"/>
          <w:b/>
          <w:bCs/>
          <w:color w:val="242424"/>
        </w:rPr>
        <w:t>Ministero dell’Economia</w:t>
      </w:r>
      <w:r>
        <w:rPr>
          <w:rFonts w:ascii="Arial" w:hAnsi="Arial" w:cs="Arial"/>
          <w:color w:val="242424"/>
        </w:rPr>
        <w:t xml:space="preserve"> e i Consigli nazionali degli </w:t>
      </w:r>
      <w:r w:rsidRPr="007825B6">
        <w:rPr>
          <w:rFonts w:ascii="Arial" w:hAnsi="Arial" w:cs="Arial"/>
          <w:b/>
          <w:bCs/>
          <w:color w:val="242424"/>
        </w:rPr>
        <w:t>Avvocati</w:t>
      </w:r>
      <w:r>
        <w:rPr>
          <w:rFonts w:ascii="Arial" w:hAnsi="Arial" w:cs="Arial"/>
          <w:color w:val="242424"/>
        </w:rPr>
        <w:t xml:space="preserve">, dei </w:t>
      </w:r>
      <w:r w:rsidRPr="007825B6">
        <w:rPr>
          <w:rFonts w:ascii="Arial" w:hAnsi="Arial" w:cs="Arial"/>
          <w:b/>
          <w:bCs/>
          <w:color w:val="242424"/>
        </w:rPr>
        <w:t>Commercialisti</w:t>
      </w:r>
      <w:r>
        <w:rPr>
          <w:rFonts w:ascii="Arial" w:hAnsi="Arial" w:cs="Arial"/>
          <w:color w:val="242424"/>
        </w:rPr>
        <w:t xml:space="preserve"> e dei </w:t>
      </w:r>
      <w:r w:rsidRPr="007825B6">
        <w:rPr>
          <w:rFonts w:ascii="Arial" w:hAnsi="Arial" w:cs="Arial"/>
          <w:b/>
          <w:bCs/>
          <w:color w:val="242424"/>
        </w:rPr>
        <w:t>Notai</w:t>
      </w:r>
      <w:r>
        <w:rPr>
          <w:rFonts w:ascii="Arial" w:hAnsi="Arial" w:cs="Arial"/>
          <w:color w:val="242424"/>
        </w:rPr>
        <w:t xml:space="preserve">. Richiesto dalle tre categorie professionali come luogo di confronto per la individuazione di possibili soluzioni ai problemi legati ad un sistema </w:t>
      </w:r>
      <w:r w:rsidRPr="007825B6">
        <w:rPr>
          <w:rFonts w:ascii="Arial" w:hAnsi="Arial" w:cs="Arial"/>
          <w:b/>
          <w:bCs/>
          <w:color w:val="242424"/>
        </w:rPr>
        <w:t>eccessivamente oneroso</w:t>
      </w:r>
      <w:r>
        <w:rPr>
          <w:rFonts w:ascii="Arial" w:hAnsi="Arial" w:cs="Arial"/>
          <w:color w:val="242424"/>
        </w:rPr>
        <w:t xml:space="preserve"> </w:t>
      </w:r>
      <w:r w:rsidRPr="003C7980">
        <w:rPr>
          <w:rFonts w:ascii="Arial" w:hAnsi="Arial" w:cs="Arial"/>
          <w:color w:val="242424"/>
        </w:rPr>
        <w:t>in termini di adempimenti e sanzioni per i professionisti</w:t>
      </w:r>
      <w:r>
        <w:rPr>
          <w:rFonts w:ascii="Arial" w:hAnsi="Arial" w:cs="Arial"/>
          <w:color w:val="242424"/>
        </w:rPr>
        <w:t xml:space="preserve">, il tavolo tecnico è coordinato dal Viceministro all’Economia </w:t>
      </w:r>
      <w:r w:rsidRPr="007825B6">
        <w:rPr>
          <w:rFonts w:ascii="Arial" w:hAnsi="Arial" w:cs="Arial"/>
          <w:b/>
          <w:bCs/>
          <w:color w:val="242424"/>
        </w:rPr>
        <w:t>Sandra Savino</w:t>
      </w:r>
      <w:r>
        <w:rPr>
          <w:rFonts w:ascii="Arial" w:hAnsi="Arial" w:cs="Arial"/>
          <w:color w:val="242424"/>
        </w:rPr>
        <w:t>.</w:t>
      </w:r>
    </w:p>
    <w:p w14:paraId="00F05077" w14:textId="77777777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1E4B96E9" w14:textId="77777777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Nel corso della riunione i professionisti</w:t>
      </w:r>
      <w:r w:rsidRPr="003C7980">
        <w:rPr>
          <w:rFonts w:ascii="Arial" w:hAnsi="Arial" w:cs="Arial"/>
          <w:color w:val="242424"/>
        </w:rPr>
        <w:t xml:space="preserve"> hanno evidenziato la necessità di procedere ad una </w:t>
      </w:r>
      <w:r w:rsidRPr="007825B6">
        <w:rPr>
          <w:rFonts w:ascii="Arial" w:hAnsi="Arial" w:cs="Arial"/>
          <w:b/>
          <w:bCs/>
          <w:color w:val="242424"/>
        </w:rPr>
        <w:t>revisione del D.Lgs. 231/2007</w:t>
      </w:r>
      <w:r w:rsidRPr="003C7980">
        <w:rPr>
          <w:rFonts w:ascii="Arial" w:hAnsi="Arial" w:cs="Arial"/>
          <w:color w:val="242424"/>
        </w:rPr>
        <w:t xml:space="preserve"> e in particolare del </w:t>
      </w:r>
      <w:r w:rsidRPr="007825B6">
        <w:rPr>
          <w:rFonts w:ascii="Arial" w:hAnsi="Arial" w:cs="Arial"/>
          <w:b/>
          <w:bCs/>
          <w:color w:val="242424"/>
        </w:rPr>
        <w:t>sistema sanzionatorio</w:t>
      </w:r>
      <w:r w:rsidRPr="003C7980">
        <w:rPr>
          <w:rFonts w:ascii="Arial" w:hAnsi="Arial" w:cs="Arial"/>
          <w:color w:val="242424"/>
        </w:rPr>
        <w:t xml:space="preserve"> che, lungi dall’essere ispirato a criteri di effettività, proporzionalità e dissuasivi</w:t>
      </w:r>
      <w:r>
        <w:rPr>
          <w:rFonts w:ascii="Arial" w:hAnsi="Arial" w:cs="Arial"/>
          <w:color w:val="242424"/>
        </w:rPr>
        <w:t xml:space="preserve">tà, </w:t>
      </w:r>
      <w:r w:rsidRPr="003C7980">
        <w:rPr>
          <w:rFonts w:ascii="Arial" w:hAnsi="Arial" w:cs="Arial"/>
          <w:color w:val="242424"/>
        </w:rPr>
        <w:t xml:space="preserve">come </w:t>
      </w:r>
      <w:r>
        <w:rPr>
          <w:rFonts w:ascii="Arial" w:hAnsi="Arial" w:cs="Arial"/>
          <w:color w:val="242424"/>
        </w:rPr>
        <w:t xml:space="preserve">invece </w:t>
      </w:r>
      <w:r w:rsidRPr="003C7980">
        <w:rPr>
          <w:rFonts w:ascii="Arial" w:hAnsi="Arial" w:cs="Arial"/>
          <w:color w:val="242424"/>
        </w:rPr>
        <w:t>previsto dal</w:t>
      </w:r>
      <w:r>
        <w:rPr>
          <w:rFonts w:ascii="Arial" w:hAnsi="Arial" w:cs="Arial"/>
          <w:color w:val="242424"/>
        </w:rPr>
        <w:t xml:space="preserve"> legislatore europeo</w:t>
      </w:r>
      <w:r w:rsidRPr="003C7980">
        <w:rPr>
          <w:rFonts w:ascii="Arial" w:hAnsi="Arial" w:cs="Arial"/>
          <w:color w:val="242424"/>
        </w:rPr>
        <w:t>, è insostenibile soprattutto per i professionisti, spesso condannati al pagamento di ingenti sanzioni per violazioni meramente formali.</w:t>
      </w:r>
    </w:p>
    <w:p w14:paraId="54E92C88" w14:textId="77777777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105E321E" w14:textId="3AC474C5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I lavori del tavolo, al quale siederanno esponenti ministeriali e tecnici indicati dai tre Consigli nazionali, proseguiranno su binari paralleli. Da un lato si predisporranno </w:t>
      </w:r>
      <w:r w:rsidRPr="007825B6">
        <w:rPr>
          <w:rFonts w:ascii="Arial" w:hAnsi="Arial" w:cs="Arial"/>
          <w:b/>
          <w:bCs/>
          <w:color w:val="242424"/>
        </w:rPr>
        <w:t xml:space="preserve">circolari interpretative </w:t>
      </w:r>
      <w:r>
        <w:rPr>
          <w:rFonts w:ascii="Arial" w:hAnsi="Arial" w:cs="Arial"/>
          <w:color w:val="242424"/>
        </w:rPr>
        <w:t xml:space="preserve">volte a semplificare l’applicazione delle norme, dall’altro si lavorerà ad una </w:t>
      </w:r>
      <w:r w:rsidRPr="007825B6">
        <w:rPr>
          <w:rFonts w:ascii="Arial" w:hAnsi="Arial" w:cs="Arial"/>
          <w:b/>
          <w:bCs/>
          <w:color w:val="242424"/>
        </w:rPr>
        <w:t>revisione organica</w:t>
      </w:r>
      <w:r>
        <w:rPr>
          <w:rFonts w:ascii="Arial" w:hAnsi="Arial" w:cs="Arial"/>
          <w:color w:val="242424"/>
        </w:rPr>
        <w:t xml:space="preserve"> della normativa.  </w:t>
      </w:r>
    </w:p>
    <w:p w14:paraId="08B55675" w14:textId="77777777" w:rsidR="007825B6" w:rsidRPr="003C7980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2FC28AC4" w14:textId="77777777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I presidenti del Consiglio nazionale forense, </w:t>
      </w:r>
      <w:r w:rsidRPr="007825B6">
        <w:rPr>
          <w:rFonts w:ascii="Arial" w:hAnsi="Arial" w:cs="Arial"/>
          <w:b/>
          <w:bCs/>
          <w:color w:val="242424"/>
        </w:rPr>
        <w:t>Francesco Greco</w:t>
      </w:r>
      <w:r>
        <w:rPr>
          <w:rFonts w:ascii="Arial" w:hAnsi="Arial" w:cs="Arial"/>
          <w:color w:val="242424"/>
        </w:rPr>
        <w:t xml:space="preserve">, del Consiglio nazionale dei Commercialisti, </w:t>
      </w:r>
      <w:r w:rsidRPr="007825B6">
        <w:rPr>
          <w:rFonts w:ascii="Arial" w:hAnsi="Arial" w:cs="Arial"/>
          <w:b/>
          <w:bCs/>
          <w:color w:val="242424"/>
        </w:rPr>
        <w:t>Elbano de Nuccio</w:t>
      </w:r>
      <w:r>
        <w:rPr>
          <w:rFonts w:ascii="Arial" w:hAnsi="Arial" w:cs="Arial"/>
          <w:color w:val="242424"/>
        </w:rPr>
        <w:t xml:space="preserve">, e del Notariato, </w:t>
      </w:r>
      <w:r w:rsidRPr="007825B6">
        <w:rPr>
          <w:rFonts w:ascii="Arial" w:hAnsi="Arial" w:cs="Arial"/>
          <w:b/>
          <w:bCs/>
          <w:color w:val="242424"/>
        </w:rPr>
        <w:t>Giulio Biino</w:t>
      </w:r>
      <w:r>
        <w:rPr>
          <w:rFonts w:ascii="Arial" w:hAnsi="Arial" w:cs="Arial"/>
          <w:color w:val="242424"/>
        </w:rPr>
        <w:t>, esprimono “</w:t>
      </w:r>
      <w:r w:rsidRPr="007825B6">
        <w:rPr>
          <w:rFonts w:ascii="Arial" w:hAnsi="Arial" w:cs="Arial"/>
          <w:b/>
          <w:bCs/>
          <w:color w:val="242424"/>
        </w:rPr>
        <w:t>soddisfazione</w:t>
      </w:r>
      <w:r>
        <w:rPr>
          <w:rFonts w:ascii="Arial" w:hAnsi="Arial" w:cs="Arial"/>
          <w:color w:val="242424"/>
        </w:rPr>
        <w:t xml:space="preserve"> per il clima di collaborazione registrato in questa prima riunione e per l’</w:t>
      </w:r>
      <w:r w:rsidRPr="007825B6">
        <w:rPr>
          <w:rFonts w:ascii="Arial" w:hAnsi="Arial" w:cs="Arial"/>
          <w:b/>
          <w:bCs/>
          <w:color w:val="242424"/>
        </w:rPr>
        <w:t xml:space="preserve">ampia disponibilità </w:t>
      </w:r>
      <w:r>
        <w:rPr>
          <w:rFonts w:ascii="Arial" w:hAnsi="Arial" w:cs="Arial"/>
          <w:color w:val="242424"/>
        </w:rPr>
        <w:t>manifestata dal Viceministro Savino a lavorare a soluzioni condivise, con un percorso celere che porti al</w:t>
      </w:r>
      <w:r w:rsidRPr="003C7980">
        <w:rPr>
          <w:rFonts w:ascii="Arial" w:hAnsi="Arial" w:cs="Arial"/>
          <w:color w:val="242424"/>
        </w:rPr>
        <w:t xml:space="preserve">la redazione di proposte tecniche </w:t>
      </w:r>
      <w:r>
        <w:rPr>
          <w:rFonts w:ascii="Arial" w:hAnsi="Arial" w:cs="Arial"/>
          <w:color w:val="242424"/>
        </w:rPr>
        <w:t xml:space="preserve">sulle quali l’esecutivo è pronto a confrontarsi con la massima apertura, consapevole di quanto la normativa antiriciclaggio possa essere eccessivamente penalizzante per i professionisti”. </w:t>
      </w:r>
    </w:p>
    <w:p w14:paraId="555246E3" w14:textId="77777777" w:rsidR="007825B6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50764975" w14:textId="77777777" w:rsidR="007825B6" w:rsidRPr="003C7980" w:rsidRDefault="007825B6" w:rsidP="007825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“Punto di partenza di ogni ragionamento su questa materia – sottolineano i tre presidenti – è che le nostre professioni non intendono in alcun modo sottrarsi al proprio </w:t>
      </w:r>
      <w:r w:rsidRPr="007825B6">
        <w:rPr>
          <w:rFonts w:ascii="Arial" w:hAnsi="Arial" w:cs="Arial"/>
          <w:b/>
          <w:bCs/>
          <w:color w:val="242424"/>
        </w:rPr>
        <w:t>impegno per la legalità</w:t>
      </w:r>
      <w:r>
        <w:rPr>
          <w:rFonts w:ascii="Arial" w:hAnsi="Arial" w:cs="Arial"/>
          <w:color w:val="242424"/>
        </w:rPr>
        <w:t xml:space="preserve">, che è anzi un pilastro insostituibile della nostra attività quotidiana”. </w:t>
      </w:r>
    </w:p>
    <w:p w14:paraId="6F68EED4" w14:textId="77777777" w:rsidR="00126271" w:rsidRPr="00126271" w:rsidRDefault="00126271" w:rsidP="007F05E1">
      <w:pPr>
        <w:rPr>
          <w:rFonts w:ascii="Arial" w:hAnsi="Arial" w:cs="Arial"/>
          <w:sz w:val="24"/>
          <w:szCs w:val="24"/>
        </w:rPr>
      </w:pPr>
    </w:p>
    <w:sectPr w:rsidR="00126271" w:rsidRPr="00126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212F" w14:textId="77777777" w:rsidR="001327D0" w:rsidRDefault="001327D0">
      <w:pPr>
        <w:spacing w:after="0" w:line="240" w:lineRule="auto"/>
      </w:pPr>
      <w:r>
        <w:separator/>
      </w:r>
    </w:p>
  </w:endnote>
  <w:endnote w:type="continuationSeparator" w:id="0">
    <w:p w14:paraId="1A856ADC" w14:textId="77777777" w:rsidR="001327D0" w:rsidRDefault="0013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FA2" w14:textId="77777777" w:rsidR="00A071DA" w:rsidRDefault="00A071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598903"/>
      <w:docPartObj>
        <w:docPartGallery w:val="Page Numbers (Bottom of Page)"/>
        <w:docPartUnique/>
      </w:docPartObj>
    </w:sdtPr>
    <w:sdtContent>
      <w:p w14:paraId="287CDACB" w14:textId="77777777" w:rsidR="00696EFE" w:rsidRDefault="00696EFE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3545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D740" w14:textId="77777777" w:rsidR="00A071DA" w:rsidRDefault="00A071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C39B" w14:textId="77777777" w:rsidR="001327D0" w:rsidRDefault="001327D0">
      <w:r>
        <w:separator/>
      </w:r>
    </w:p>
  </w:footnote>
  <w:footnote w:type="continuationSeparator" w:id="0">
    <w:p w14:paraId="48D88B49" w14:textId="77777777" w:rsidR="001327D0" w:rsidRDefault="0013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7F9" w14:textId="77777777" w:rsidR="00A071DA" w:rsidRDefault="00A071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FEBA" w14:textId="77777777" w:rsidR="00A071DA" w:rsidRDefault="00A071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42B7" w14:textId="70D395C5" w:rsidR="00696EFE" w:rsidRDefault="00696EFE" w:rsidP="00140893">
    <w:pPr>
      <w:pStyle w:val="Intestazione"/>
      <w:tabs>
        <w:tab w:val="clear" w:pos="9638"/>
        <w:tab w:val="left" w:pos="7980"/>
      </w:tabs>
    </w:pPr>
    <w:r>
      <w:rPr>
        <w:noProof/>
        <w:lang w:eastAsia="it-IT"/>
      </w:rPr>
      <w:drawing>
        <wp:inline distT="0" distB="0" distL="0" distR="0" wp14:anchorId="03D9FE45" wp14:editId="67CD0502">
          <wp:extent cx="1749425" cy="835025"/>
          <wp:effectExtent l="0" t="0" r="0" b="0"/>
          <wp:docPr id="2" name="Immagine 2" descr="CNN_vet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NN_vett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it-IT"/>
      </w:rPr>
      <w:drawing>
        <wp:inline distT="0" distB="0" distL="0" distR="0" wp14:anchorId="575A0E47" wp14:editId="34E2A458">
          <wp:extent cx="1994535" cy="752475"/>
          <wp:effectExtent l="0" t="0" r="0" b="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71DA">
      <w:t xml:space="preserve">     </w:t>
    </w:r>
    <w:r w:rsidR="00A071DA" w:rsidRPr="00A071DA">
      <w:t xml:space="preserve"> </w:t>
    </w:r>
    <w:r w:rsidR="00A071DA">
      <w:rPr>
        <w:noProof/>
      </w:rPr>
      <w:drawing>
        <wp:inline distT="0" distB="0" distL="0" distR="0" wp14:anchorId="60723542" wp14:editId="7520D02D">
          <wp:extent cx="1895475" cy="507365"/>
          <wp:effectExtent l="0" t="0" r="9525" b="6985"/>
          <wp:docPr id="514808252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08252" name="Immagine 1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132" cy="512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FEF"/>
    <w:multiLevelType w:val="multilevel"/>
    <w:tmpl w:val="53BE1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3A5226"/>
    <w:multiLevelType w:val="multilevel"/>
    <w:tmpl w:val="610EC8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4252012">
    <w:abstractNumId w:val="1"/>
  </w:num>
  <w:num w:numId="2" w16cid:durableId="153819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AD"/>
    <w:rsid w:val="00003655"/>
    <w:rsid w:val="0008706C"/>
    <w:rsid w:val="000D6AC4"/>
    <w:rsid w:val="00126271"/>
    <w:rsid w:val="001327D0"/>
    <w:rsid w:val="00140893"/>
    <w:rsid w:val="00167133"/>
    <w:rsid w:val="001A5754"/>
    <w:rsid w:val="00256EE2"/>
    <w:rsid w:val="003334AD"/>
    <w:rsid w:val="003D5363"/>
    <w:rsid w:val="004E4763"/>
    <w:rsid w:val="00536241"/>
    <w:rsid w:val="00552873"/>
    <w:rsid w:val="00696EFE"/>
    <w:rsid w:val="006B363C"/>
    <w:rsid w:val="006D2F77"/>
    <w:rsid w:val="00717460"/>
    <w:rsid w:val="007601FD"/>
    <w:rsid w:val="007825B6"/>
    <w:rsid w:val="007F05E1"/>
    <w:rsid w:val="00850295"/>
    <w:rsid w:val="00935451"/>
    <w:rsid w:val="009B4600"/>
    <w:rsid w:val="009E186D"/>
    <w:rsid w:val="00A071DA"/>
    <w:rsid w:val="00AF2B0F"/>
    <w:rsid w:val="00B67A43"/>
    <w:rsid w:val="00B91A40"/>
    <w:rsid w:val="00BE69D5"/>
    <w:rsid w:val="00C75B89"/>
    <w:rsid w:val="00CC537D"/>
    <w:rsid w:val="00D32EE7"/>
    <w:rsid w:val="00E429EB"/>
    <w:rsid w:val="00EA6A15"/>
    <w:rsid w:val="00F31C3D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D4EB1"/>
  <w15:docId w15:val="{36A6038B-8815-428D-82D7-F3197E8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CFD"/>
    <w:pPr>
      <w:spacing w:after="200" w:line="276" w:lineRule="auto"/>
    </w:pPr>
    <w:rPr>
      <w:rFonts w:cs="Times New Roman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0E4698"/>
    <w:pPr>
      <w:keepNext/>
      <w:keepLines/>
      <w:suppressAutoHyphens/>
      <w:spacing w:before="480" w:after="0" w:line="260" w:lineRule="atLeast"/>
      <w:outlineLvl w:val="0"/>
    </w:pPr>
    <w:rPr>
      <w:rFonts w:eastAsia="Times New Roman"/>
      <w:b/>
      <w:bCs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6FDD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C20E2"/>
    <w:rPr>
      <w:rFonts w:ascii="Times New Roman" w:eastAsia="Times New Roman" w:hAnsi="Times New Roman"/>
      <w:i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72CF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72CF8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E4698"/>
    <w:rPr>
      <w:rFonts w:ascii="Calibri" w:eastAsia="Times New Roman" w:hAnsi="Calibri" w:cs="Times New Roman"/>
      <w:b/>
      <w:bCs/>
      <w:sz w:val="28"/>
      <w:szCs w:val="28"/>
      <w:u w:val="none" w:color="000000"/>
    </w:rPr>
  </w:style>
  <w:style w:type="character" w:customStyle="1" w:styleId="Enfasi">
    <w:name w:val="Enfasi"/>
    <w:uiPriority w:val="20"/>
    <w:qFormat/>
    <w:rsid w:val="000E4698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0E469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E555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555A1"/>
    <w:rPr>
      <w:vertAlign w:val="superscript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  <w:i/>
      <w:w w:val="95"/>
      <w:sz w:val="22"/>
      <w:szCs w:val="22"/>
    </w:rPr>
  </w:style>
  <w:style w:type="character" w:customStyle="1" w:styleId="ListLabel10">
    <w:name w:val="ListLabel 10"/>
    <w:qFormat/>
    <w:rPr>
      <w:rFonts w:eastAsia="Times New Roman"/>
      <w:i/>
      <w:w w:val="95"/>
      <w:sz w:val="22"/>
      <w:szCs w:val="22"/>
    </w:rPr>
  </w:style>
  <w:style w:type="character" w:customStyle="1" w:styleId="ListLabel11">
    <w:name w:val="ListLabel 11"/>
    <w:qFormat/>
    <w:rPr>
      <w:rFonts w:eastAsia="Times New Roman"/>
      <w:i/>
      <w:w w:val="102"/>
      <w:sz w:val="21"/>
      <w:szCs w:val="21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18">
    <w:name w:val="ListLabel 18"/>
    <w:qFormat/>
    <w:rPr>
      <w:rFonts w:ascii="Times New Roman" w:hAnsi="Times New Roman" w:cs="Times New Roman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C20E2"/>
    <w:pPr>
      <w:widowControl w:val="0"/>
      <w:spacing w:after="0" w:line="240" w:lineRule="auto"/>
      <w:ind w:left="1850"/>
    </w:pPr>
    <w:rPr>
      <w:rFonts w:ascii="Times New Roman" w:eastAsia="Times New Roman" w:hAnsi="Times New Roman" w:cstheme="minorBidi"/>
      <w:i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D32948"/>
    <w:rPr>
      <w:rFonts w:ascii="Calibri" w:eastAsia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BA475E"/>
    <w:pPr>
      <w:spacing w:beforeAutospacing="1" w:afterAutospacing="1" w:line="240" w:lineRule="auto"/>
    </w:pPr>
    <w:rPr>
      <w:color w:val="000000"/>
    </w:rPr>
  </w:style>
  <w:style w:type="paragraph" w:styleId="Paragrafoelenco">
    <w:name w:val="List Paragraph"/>
    <w:basedOn w:val="Normale"/>
    <w:uiPriority w:val="34"/>
    <w:qFormat/>
    <w:rsid w:val="00724C25"/>
    <w:pPr>
      <w:spacing w:after="0" w:line="240" w:lineRule="auto"/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6FDD"/>
    <w:pPr>
      <w:spacing w:after="0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72CF8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F72CF8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Titolo11">
    <w:name w:val="Titolo 11"/>
    <w:basedOn w:val="Normale"/>
    <w:uiPriority w:val="9"/>
    <w:qFormat/>
    <w:rsid w:val="00795EEC"/>
    <w:pPr>
      <w:keepNext/>
      <w:keepLines/>
      <w:suppressAutoHyphens/>
      <w:spacing w:before="480" w:after="0" w:line="260" w:lineRule="atLeast"/>
      <w:outlineLvl w:val="0"/>
    </w:pPr>
    <w:rPr>
      <w:rFonts w:eastAsia="Times New Roman"/>
      <w:b/>
      <w:bCs/>
      <w:sz w:val="28"/>
      <w:szCs w:val="28"/>
      <w:u w:color="000000"/>
    </w:rPr>
  </w:style>
  <w:style w:type="paragraph" w:customStyle="1" w:styleId="xmsonormal">
    <w:name w:val="x_msonormal"/>
    <w:basedOn w:val="Normale"/>
    <w:rsid w:val="007825B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54CD-B8C0-446C-9BBF-6908227A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Notarile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Sironi Enrico</dc:creator>
  <dc:description/>
  <cp:lastModifiedBy>Mastrogiacomo Tiziana</cp:lastModifiedBy>
  <cp:revision>2</cp:revision>
  <cp:lastPrinted>2017-03-27T07:59:00Z</cp:lastPrinted>
  <dcterms:created xsi:type="dcterms:W3CDTF">2023-10-06T09:13:00Z</dcterms:created>
  <dcterms:modified xsi:type="dcterms:W3CDTF">2023-10-06T09:13:00Z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Studio Notarile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