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733833" w:rsidRDefault="00A25D50" w:rsidP="001E268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AF6AB" w14:textId="77777777" w:rsidR="007840AA" w:rsidRDefault="007840AA" w:rsidP="001E268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7A78EA21" w:rsidR="00A25D50" w:rsidRPr="00733833" w:rsidRDefault="00A25D50" w:rsidP="001E2682">
      <w:pPr>
        <w:jc w:val="center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6234F00" w14:textId="49A83E71" w:rsidR="00A25D50" w:rsidRDefault="00A25D50" w:rsidP="001E2682">
      <w:pPr>
        <w:jc w:val="center"/>
        <w:rPr>
          <w:rFonts w:ascii="Arial" w:hAnsi="Arial" w:cs="Arial"/>
          <w:sz w:val="24"/>
          <w:szCs w:val="24"/>
        </w:rPr>
      </w:pPr>
    </w:p>
    <w:p w14:paraId="7CBA8437" w14:textId="3E7C17A1" w:rsidR="00BC0331" w:rsidRPr="00BC0331" w:rsidRDefault="00BC0331" w:rsidP="00BC0331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BC033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INCENTIVI: COMMERCIALISTI, BENE EMENDAMENTO SU EQUIPARAZIONE IMPRESE – PROFESSIONISTI</w:t>
      </w:r>
    </w:p>
    <w:p w14:paraId="34024822" w14:textId="77777777" w:rsidR="00BC0331" w:rsidRDefault="00BC0331" w:rsidP="00BC0331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73B3E30" w14:textId="7BAE45F3" w:rsidR="00BC0331" w:rsidRDefault="00BC0331" w:rsidP="00BC0331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BC033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De Nuccio: “Si afferma un giusto principio generale che dispone una piena parità di trattamento”</w:t>
      </w:r>
    </w:p>
    <w:p w14:paraId="29F1AF01" w14:textId="77777777" w:rsidR="00BC0331" w:rsidRPr="00BE5CB4" w:rsidRDefault="00BC0331" w:rsidP="00BC0331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485BA8C" w14:textId="6B7673B6" w:rsidR="00611E10" w:rsidRDefault="00BC0331" w:rsidP="00BC0331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E5CB4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Roma, </w:t>
      </w:r>
      <w:r w:rsidR="006C4593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6</w:t>
      </w:r>
      <w:r w:rsidRPr="00BE5CB4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luglio 2023 –</w:t>
      </w:r>
      <w:r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“La presentazione da parte del</w:t>
      </w:r>
      <w:r w:rsid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la Lega </w:t>
      </w:r>
      <w:r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di un emendamento, con parere favorevole, al Ddl Incentivi</w:t>
      </w:r>
      <w:r w:rsid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sostenuto anche dal Sottosegretario </w:t>
      </w:r>
      <w:r w:rsidR="00BE5CB4" w:rsidRPr="00777FC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Massimo Bitonci</w:t>
      </w:r>
      <w:r w:rsid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8E55E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 coerenza con quanto da lui affermato ai nostri Stati generali di maggio, </w:t>
      </w:r>
      <w:r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è un fatto molto positivo. La sua approvazione rappresenterebbe l’affermazione di un </w:t>
      </w:r>
      <w:r w:rsidRPr="00777FC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principio generale</w:t>
      </w:r>
      <w:r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che dispone </w:t>
      </w:r>
      <w:r w:rsidR="001C4D6B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finalmente</w:t>
      </w:r>
      <w:r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r w:rsidRPr="00777FC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piena parità di trattamento tra imprese e </w:t>
      </w:r>
      <w:r w:rsidR="001C4D6B" w:rsidRPr="00777FC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professionisti</w:t>
      </w:r>
      <w:r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 tema di accesso agli </w:t>
      </w:r>
      <w:r w:rsidRPr="00777FC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incentivi</w:t>
      </w:r>
      <w:r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”.</w:t>
      </w:r>
      <w:r w:rsidR="00611E1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C4D6B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È</w:t>
      </w:r>
      <w:r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quanto afferma</w:t>
      </w:r>
      <w:r w:rsidR="006C4593">
        <w:rPr>
          <w:rFonts w:ascii="Arial" w:hAnsi="Arial" w:cs="Arial"/>
          <w:color w:val="333333"/>
          <w:sz w:val="24"/>
          <w:szCs w:val="24"/>
          <w:shd w:val="clear" w:color="auto" w:fill="FFFFFF"/>
        </w:rPr>
        <w:t>to dal</w:t>
      </w:r>
      <w:r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presidente dei commercialisti, </w:t>
      </w:r>
      <w:r w:rsidRPr="00777FC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Elbano de Nuccio</w:t>
      </w:r>
      <w:r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6C4593">
        <w:rPr>
          <w:rFonts w:ascii="Arial" w:hAnsi="Arial" w:cs="Arial"/>
          <w:color w:val="333333"/>
          <w:sz w:val="24"/>
          <w:szCs w:val="24"/>
          <w:shd w:val="clear" w:color="auto" w:fill="FFFFFF"/>
        </w:rPr>
        <w:t>nel corso del suo intervento all’Assemblea degli ordini territoriali della categoria.</w:t>
      </w:r>
    </w:p>
    <w:p w14:paraId="1059B352" w14:textId="77777777" w:rsidR="00611E10" w:rsidRDefault="00611E10" w:rsidP="00BC0331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C3C543F" w14:textId="126D41E5" w:rsidR="00BC0331" w:rsidRPr="00BE5CB4" w:rsidRDefault="006C4593" w:rsidP="00BC03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 Nuccio ha 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ricorda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to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come “avevamo avanzato questa </w:t>
      </w:r>
      <w:r w:rsidR="001C4D6B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proposta</w:t>
      </w:r>
      <w:r w:rsidR="00BE5CB4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nei documenti da noi presentati in diverse audizioni parlamentari</w:t>
      </w:r>
      <w:r w:rsidR="001C4D6B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oltre che in ogni altra interlocuzione istituzionale avuta in questi mesi”. </w:t>
      </w:r>
      <w:r w:rsidR="00BA19DE">
        <w:rPr>
          <w:rFonts w:ascii="Arial" w:hAnsi="Arial" w:cs="Arial"/>
          <w:color w:val="333333"/>
          <w:sz w:val="24"/>
          <w:szCs w:val="24"/>
          <w:shd w:val="clear" w:color="auto" w:fill="FFFFFF"/>
        </w:rPr>
        <w:t>Per il</w:t>
      </w:r>
      <w:r w:rsidR="001C4D6B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numero uno </w:t>
      </w:r>
      <w:r w:rsidR="001F21E4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dei</w:t>
      </w:r>
      <w:r w:rsidR="001F21E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F21E4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commercialisti</w:t>
      </w:r>
      <w:r w:rsidR="001C4D6B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richiesta della categoria si inserisce “n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ell’ambito della revisione e razionalizzazione del sistema degli </w:t>
      </w:r>
      <w:r w:rsidR="00BC0331" w:rsidRPr="00BE5CB4">
        <w:rPr>
          <w:rStyle w:val="Enfasigrassetto"/>
          <w:rFonts w:ascii="Arial" w:hAnsi="Arial" w:cs="Aria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incentivi fiscali alle</w:t>
      </w:r>
      <w:r w:rsidR="00BC0331" w:rsidRPr="00BE5CB4">
        <w:rPr>
          <w:rStyle w:val="Enfasigrassetto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C0331" w:rsidRPr="00BE5CB4">
        <w:rPr>
          <w:rStyle w:val="Enfasigrassetto"/>
          <w:rFonts w:ascii="Arial" w:hAnsi="Arial" w:cs="Aria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imprese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1C4D6B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nel quale va a nostro avviso 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introdotto uno </w:t>
      </w:r>
      <w:r w:rsidR="00BC0331" w:rsidRPr="00BA19D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specifico criterio direttivo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che disponga la </w:t>
      </w:r>
      <w:r w:rsidR="00BC0331" w:rsidRPr="00BE5CB4">
        <w:rPr>
          <w:rStyle w:val="Enfasigrassetto"/>
          <w:rFonts w:ascii="Arial" w:hAnsi="Arial" w:cs="Aria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parità di trattamento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tra </w:t>
      </w:r>
      <w:r w:rsidR="00BC0331" w:rsidRPr="00BA19D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tutti gli operatori economici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Ai fini dell’accesso alle diverse forme di </w:t>
      </w:r>
      <w:r w:rsidR="00BC0331" w:rsidRPr="00BA19D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incentivazione fiscale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E5CB4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è, secondo noi, 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necessario affermare il principio generale di </w:t>
      </w:r>
      <w:r w:rsidR="00BC0331" w:rsidRPr="00BE5CB4">
        <w:rPr>
          <w:rStyle w:val="Enfasigrassetto"/>
          <w:rFonts w:ascii="Arial" w:hAnsi="Arial" w:cs="Aria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piena equiparazione tra professionisti e imprese</w:t>
      </w:r>
      <w:r w:rsidR="00BC0331" w:rsidRPr="00BE5CB4">
        <w:rPr>
          <w:rFonts w:ascii="Arial" w:hAnsi="Arial" w:cs="Arial"/>
          <w:color w:val="333333"/>
          <w:sz w:val="24"/>
          <w:szCs w:val="24"/>
          <w:shd w:val="clear" w:color="auto" w:fill="FFFFFF"/>
        </w:rPr>
        <w:t>”.</w:t>
      </w:r>
    </w:p>
    <w:sectPr w:rsidR="00BC0331" w:rsidRPr="00BE5CB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5D97" w14:textId="77777777" w:rsidR="00FF285E" w:rsidRDefault="00FF285E" w:rsidP="00A25D50">
      <w:r>
        <w:separator/>
      </w:r>
    </w:p>
  </w:endnote>
  <w:endnote w:type="continuationSeparator" w:id="0">
    <w:p w14:paraId="6CD49B48" w14:textId="77777777" w:rsidR="00FF285E" w:rsidRDefault="00FF285E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6BB7" w14:textId="77777777" w:rsidR="00FF285E" w:rsidRDefault="00FF285E" w:rsidP="00A25D50">
      <w:r>
        <w:separator/>
      </w:r>
    </w:p>
  </w:footnote>
  <w:footnote w:type="continuationSeparator" w:id="0">
    <w:p w14:paraId="5F5795D6" w14:textId="77777777" w:rsidR="00FF285E" w:rsidRDefault="00FF285E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7BE3"/>
    <w:rsid w:val="00041437"/>
    <w:rsid w:val="00055C12"/>
    <w:rsid w:val="0009108B"/>
    <w:rsid w:val="000C4581"/>
    <w:rsid w:val="000F1CA8"/>
    <w:rsid w:val="00136CF7"/>
    <w:rsid w:val="001447D0"/>
    <w:rsid w:val="00164C51"/>
    <w:rsid w:val="001C4D6B"/>
    <w:rsid w:val="001E2682"/>
    <w:rsid w:val="001E4EF0"/>
    <w:rsid w:val="001F21E4"/>
    <w:rsid w:val="001F399E"/>
    <w:rsid w:val="0020469F"/>
    <w:rsid w:val="00204F62"/>
    <w:rsid w:val="00216437"/>
    <w:rsid w:val="0023378D"/>
    <w:rsid w:val="00237EC9"/>
    <w:rsid w:val="00243892"/>
    <w:rsid w:val="00243F31"/>
    <w:rsid w:val="002A46B8"/>
    <w:rsid w:val="002B687E"/>
    <w:rsid w:val="003002C5"/>
    <w:rsid w:val="00333A0F"/>
    <w:rsid w:val="0034189F"/>
    <w:rsid w:val="00347274"/>
    <w:rsid w:val="00365441"/>
    <w:rsid w:val="003771AB"/>
    <w:rsid w:val="00382DCB"/>
    <w:rsid w:val="00394F50"/>
    <w:rsid w:val="003A2DAE"/>
    <w:rsid w:val="003A52D9"/>
    <w:rsid w:val="003A73E6"/>
    <w:rsid w:val="003E3AB2"/>
    <w:rsid w:val="00463C7D"/>
    <w:rsid w:val="004C59E2"/>
    <w:rsid w:val="004E3EC6"/>
    <w:rsid w:val="004F0506"/>
    <w:rsid w:val="004F6EF6"/>
    <w:rsid w:val="0050036C"/>
    <w:rsid w:val="00503FF5"/>
    <w:rsid w:val="005135B9"/>
    <w:rsid w:val="00513CFB"/>
    <w:rsid w:val="0053620E"/>
    <w:rsid w:val="005503BE"/>
    <w:rsid w:val="00561CB7"/>
    <w:rsid w:val="00611E10"/>
    <w:rsid w:val="006150FC"/>
    <w:rsid w:val="00685BF9"/>
    <w:rsid w:val="006B0A61"/>
    <w:rsid w:val="006B5515"/>
    <w:rsid w:val="006C090E"/>
    <w:rsid w:val="006C4593"/>
    <w:rsid w:val="00733833"/>
    <w:rsid w:val="00740F1F"/>
    <w:rsid w:val="007451A9"/>
    <w:rsid w:val="00772CD8"/>
    <w:rsid w:val="00777FC6"/>
    <w:rsid w:val="007840AA"/>
    <w:rsid w:val="007C2A85"/>
    <w:rsid w:val="0080228B"/>
    <w:rsid w:val="00803B21"/>
    <w:rsid w:val="00883612"/>
    <w:rsid w:val="00895B38"/>
    <w:rsid w:val="008B3982"/>
    <w:rsid w:val="008E55E3"/>
    <w:rsid w:val="008F01F8"/>
    <w:rsid w:val="00901181"/>
    <w:rsid w:val="00904442"/>
    <w:rsid w:val="009679A1"/>
    <w:rsid w:val="009726DC"/>
    <w:rsid w:val="009B6359"/>
    <w:rsid w:val="009D18CC"/>
    <w:rsid w:val="009D2456"/>
    <w:rsid w:val="00A2361E"/>
    <w:rsid w:val="00A23A10"/>
    <w:rsid w:val="00A25D50"/>
    <w:rsid w:val="00A41325"/>
    <w:rsid w:val="00A74AA6"/>
    <w:rsid w:val="00AE049F"/>
    <w:rsid w:val="00AE2F64"/>
    <w:rsid w:val="00AE2FF1"/>
    <w:rsid w:val="00B154FD"/>
    <w:rsid w:val="00B2654F"/>
    <w:rsid w:val="00B623C7"/>
    <w:rsid w:val="00BA19DE"/>
    <w:rsid w:val="00BB3259"/>
    <w:rsid w:val="00BC0331"/>
    <w:rsid w:val="00BE5CB4"/>
    <w:rsid w:val="00C17FC9"/>
    <w:rsid w:val="00C20913"/>
    <w:rsid w:val="00C3730F"/>
    <w:rsid w:val="00C82382"/>
    <w:rsid w:val="00C84922"/>
    <w:rsid w:val="00C87780"/>
    <w:rsid w:val="00D742E0"/>
    <w:rsid w:val="00D8383C"/>
    <w:rsid w:val="00D86F1A"/>
    <w:rsid w:val="00DA0ED2"/>
    <w:rsid w:val="00DB0771"/>
    <w:rsid w:val="00DE7244"/>
    <w:rsid w:val="00E4100D"/>
    <w:rsid w:val="00E80398"/>
    <w:rsid w:val="00F1060D"/>
    <w:rsid w:val="00F21C61"/>
    <w:rsid w:val="00F45169"/>
    <w:rsid w:val="00F54D2A"/>
    <w:rsid w:val="00F5789E"/>
    <w:rsid w:val="00F70F2A"/>
    <w:rsid w:val="00F714C9"/>
    <w:rsid w:val="00F910CC"/>
    <w:rsid w:val="00FB1FE4"/>
    <w:rsid w:val="00FD6D4F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dcterms:created xsi:type="dcterms:W3CDTF">2023-07-05T11:34:00Z</dcterms:created>
  <dcterms:modified xsi:type="dcterms:W3CDTF">2023-07-06T10:43:00Z</dcterms:modified>
</cp:coreProperties>
</file>