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C2A7" w14:textId="77777777" w:rsidR="00FA7C3B" w:rsidRPr="00954481" w:rsidRDefault="00FA7C3B" w:rsidP="0095448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5FC3AF6" w14:textId="77777777" w:rsidR="00954481" w:rsidRPr="00965104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6ED559" w14:textId="77777777" w:rsidR="00954481" w:rsidRPr="00965104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65104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EFB7E70" w14:textId="77777777" w:rsidR="00954481" w:rsidRPr="00965104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93B90" w14:textId="342E3E48" w:rsidR="00A219E7" w:rsidRPr="00965104" w:rsidRDefault="00A219E7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5104">
        <w:rPr>
          <w:rFonts w:ascii="Arial" w:hAnsi="Arial" w:cs="Arial"/>
          <w:b/>
          <w:bCs/>
          <w:sz w:val="24"/>
          <w:szCs w:val="24"/>
        </w:rPr>
        <w:t xml:space="preserve">COMMERCIALISTI, GRANDE SODDISFAZIONE PER PROPOSTA DI LEGGE SU LIMITAZIONE RESPONSABILITA’ SINDACI </w:t>
      </w:r>
    </w:p>
    <w:p w14:paraId="5862406A" w14:textId="77777777" w:rsidR="00A219E7" w:rsidRPr="00965104" w:rsidRDefault="00A219E7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D15E31" w14:textId="753A6534" w:rsidR="00A219E7" w:rsidRPr="00965104" w:rsidRDefault="00A219E7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5104">
        <w:rPr>
          <w:rFonts w:ascii="Arial" w:hAnsi="Arial" w:cs="Arial"/>
          <w:b/>
          <w:bCs/>
          <w:sz w:val="24"/>
          <w:szCs w:val="24"/>
        </w:rPr>
        <w:t xml:space="preserve">Presentata dall’Onorevole Marta </w:t>
      </w:r>
      <w:proofErr w:type="spellStart"/>
      <w:r w:rsidRPr="00965104">
        <w:rPr>
          <w:rFonts w:ascii="Arial" w:hAnsi="Arial" w:cs="Arial"/>
          <w:b/>
          <w:bCs/>
          <w:sz w:val="24"/>
          <w:szCs w:val="24"/>
        </w:rPr>
        <w:t>Schifone</w:t>
      </w:r>
      <w:proofErr w:type="spellEnd"/>
      <w:r w:rsidRPr="00965104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965104">
        <w:rPr>
          <w:rFonts w:ascii="Arial" w:hAnsi="Arial" w:cs="Arial"/>
          <w:b/>
          <w:bCs/>
          <w:sz w:val="24"/>
          <w:szCs w:val="24"/>
        </w:rPr>
        <w:t>FdI</w:t>
      </w:r>
      <w:proofErr w:type="spellEnd"/>
      <w:r w:rsidRPr="00965104">
        <w:rPr>
          <w:rFonts w:ascii="Arial" w:hAnsi="Arial" w:cs="Arial"/>
          <w:b/>
          <w:bCs/>
          <w:sz w:val="24"/>
          <w:szCs w:val="24"/>
        </w:rPr>
        <w:t xml:space="preserve">). De Nuccio: “Governo e </w:t>
      </w:r>
      <w:r w:rsidR="00BC6914" w:rsidRPr="00965104">
        <w:rPr>
          <w:rFonts w:ascii="Arial" w:hAnsi="Arial" w:cs="Arial"/>
          <w:b/>
          <w:bCs/>
          <w:sz w:val="24"/>
          <w:szCs w:val="24"/>
        </w:rPr>
        <w:t>maggioranza</w:t>
      </w:r>
      <w:r w:rsidRPr="00965104">
        <w:rPr>
          <w:rFonts w:ascii="Arial" w:hAnsi="Arial" w:cs="Arial"/>
          <w:b/>
          <w:bCs/>
          <w:sz w:val="24"/>
          <w:szCs w:val="24"/>
        </w:rPr>
        <w:t xml:space="preserve"> hanno mantenuto </w:t>
      </w:r>
      <w:r w:rsidR="00BC6914" w:rsidRPr="00965104">
        <w:rPr>
          <w:rFonts w:ascii="Arial" w:hAnsi="Arial" w:cs="Arial"/>
          <w:b/>
          <w:bCs/>
          <w:sz w:val="24"/>
          <w:szCs w:val="24"/>
        </w:rPr>
        <w:t>impegni</w:t>
      </w:r>
      <w:r w:rsidRPr="00965104">
        <w:rPr>
          <w:rFonts w:ascii="Arial" w:hAnsi="Arial" w:cs="Arial"/>
          <w:b/>
          <w:bCs/>
          <w:sz w:val="24"/>
          <w:szCs w:val="24"/>
        </w:rPr>
        <w:t xml:space="preserve"> </w:t>
      </w:r>
      <w:r w:rsidR="00BC6914" w:rsidRPr="00965104">
        <w:rPr>
          <w:rFonts w:ascii="Arial" w:hAnsi="Arial" w:cs="Arial"/>
          <w:b/>
          <w:bCs/>
          <w:sz w:val="24"/>
          <w:szCs w:val="24"/>
        </w:rPr>
        <w:t xml:space="preserve">presi. </w:t>
      </w:r>
      <w:r w:rsidRPr="00965104">
        <w:rPr>
          <w:rFonts w:ascii="Arial" w:hAnsi="Arial" w:cs="Arial"/>
          <w:b/>
          <w:bCs/>
          <w:sz w:val="24"/>
          <w:szCs w:val="24"/>
        </w:rPr>
        <w:t>Auspichiamo rapido iter di appro</w:t>
      </w:r>
      <w:r w:rsidR="00BC6914" w:rsidRPr="00965104">
        <w:rPr>
          <w:rFonts w:ascii="Arial" w:hAnsi="Arial" w:cs="Arial"/>
          <w:b/>
          <w:bCs/>
          <w:sz w:val="24"/>
          <w:szCs w:val="24"/>
        </w:rPr>
        <w:t>vazione”</w:t>
      </w:r>
    </w:p>
    <w:p w14:paraId="0A55949B" w14:textId="77777777" w:rsidR="00BC6914" w:rsidRPr="00965104" w:rsidRDefault="00BC6914" w:rsidP="00D937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703E97" w14:textId="0734DC08" w:rsidR="00965104" w:rsidRPr="00965104" w:rsidRDefault="00BC6914" w:rsidP="00D937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04">
        <w:rPr>
          <w:rFonts w:ascii="Arial" w:hAnsi="Arial" w:cs="Arial"/>
          <w:i/>
          <w:iCs/>
          <w:sz w:val="24"/>
          <w:szCs w:val="24"/>
        </w:rPr>
        <w:t xml:space="preserve">Roma, 6 luglio 2023 – </w:t>
      </w:r>
      <w:r w:rsidR="009D05C9">
        <w:rPr>
          <w:rFonts w:ascii="Arial" w:hAnsi="Arial" w:cs="Arial"/>
          <w:i/>
          <w:iCs/>
          <w:sz w:val="24"/>
          <w:szCs w:val="24"/>
        </w:rPr>
        <w:t>“</w:t>
      </w:r>
      <w:r w:rsidR="003E46CC">
        <w:rPr>
          <w:rFonts w:ascii="Arial" w:hAnsi="Arial" w:cs="Arial"/>
          <w:sz w:val="24"/>
          <w:szCs w:val="24"/>
        </w:rPr>
        <w:t xml:space="preserve">Esprimiamo </w:t>
      </w:r>
      <w:r w:rsidRPr="00965104">
        <w:rPr>
          <w:rFonts w:ascii="Arial" w:hAnsi="Arial" w:cs="Arial"/>
          <w:b/>
          <w:bCs/>
          <w:sz w:val="24"/>
          <w:szCs w:val="24"/>
        </w:rPr>
        <w:t>grande soddisfazione</w:t>
      </w:r>
      <w:r w:rsidRPr="00965104">
        <w:rPr>
          <w:rFonts w:ascii="Arial" w:hAnsi="Arial" w:cs="Arial"/>
          <w:sz w:val="24"/>
          <w:szCs w:val="24"/>
        </w:rPr>
        <w:t xml:space="preserve"> per la presentazione, da parte dell’Onorevole </w:t>
      </w:r>
      <w:r w:rsidRPr="00965104">
        <w:rPr>
          <w:rFonts w:ascii="Arial" w:hAnsi="Arial" w:cs="Arial"/>
          <w:b/>
          <w:bCs/>
          <w:sz w:val="24"/>
          <w:szCs w:val="24"/>
        </w:rPr>
        <w:t xml:space="preserve">Marta </w:t>
      </w:r>
      <w:proofErr w:type="spellStart"/>
      <w:r w:rsidRPr="00965104">
        <w:rPr>
          <w:rFonts w:ascii="Arial" w:hAnsi="Arial" w:cs="Arial"/>
          <w:b/>
          <w:bCs/>
          <w:sz w:val="24"/>
          <w:szCs w:val="24"/>
        </w:rPr>
        <w:t>Schifone</w:t>
      </w:r>
      <w:proofErr w:type="spellEnd"/>
      <w:r w:rsidRPr="00965104">
        <w:rPr>
          <w:rFonts w:ascii="Arial" w:hAnsi="Arial" w:cs="Arial"/>
          <w:sz w:val="24"/>
          <w:szCs w:val="24"/>
        </w:rPr>
        <w:t xml:space="preserve"> (Fratelli d’Italia) di una proposta di legge che punta a </w:t>
      </w:r>
      <w:r w:rsidRPr="00965104">
        <w:rPr>
          <w:rFonts w:ascii="Arial" w:hAnsi="Arial" w:cs="Arial"/>
          <w:b/>
          <w:bCs/>
          <w:sz w:val="24"/>
          <w:szCs w:val="24"/>
        </w:rPr>
        <w:t>ridefinire i profili di responsabilità civile</w:t>
      </w:r>
      <w:r w:rsidRPr="00965104">
        <w:rPr>
          <w:rFonts w:ascii="Arial" w:hAnsi="Arial" w:cs="Arial"/>
          <w:sz w:val="24"/>
          <w:szCs w:val="24"/>
        </w:rPr>
        <w:t xml:space="preserve"> degli </w:t>
      </w:r>
      <w:r w:rsidRPr="00965104">
        <w:rPr>
          <w:rFonts w:ascii="Arial" w:hAnsi="Arial" w:cs="Arial"/>
          <w:b/>
          <w:bCs/>
          <w:sz w:val="24"/>
          <w:szCs w:val="24"/>
        </w:rPr>
        <w:t>organi di controllo</w:t>
      </w:r>
      <w:r w:rsidR="009D05C9">
        <w:rPr>
          <w:rFonts w:ascii="Arial" w:hAnsi="Arial" w:cs="Arial"/>
          <w:b/>
          <w:bCs/>
          <w:sz w:val="24"/>
          <w:szCs w:val="24"/>
        </w:rPr>
        <w:t>”</w:t>
      </w:r>
      <w:r w:rsidRPr="00965104">
        <w:rPr>
          <w:rFonts w:ascii="Arial" w:hAnsi="Arial" w:cs="Arial"/>
          <w:sz w:val="24"/>
          <w:szCs w:val="24"/>
        </w:rPr>
        <w:t xml:space="preserve">. </w:t>
      </w:r>
      <w:r w:rsidR="009D05C9">
        <w:rPr>
          <w:rFonts w:ascii="Arial" w:hAnsi="Arial" w:cs="Arial"/>
          <w:sz w:val="24"/>
          <w:szCs w:val="24"/>
        </w:rPr>
        <w:t xml:space="preserve">È quanto affermato dal presidente del Consiglio nazionale </w:t>
      </w:r>
      <w:r w:rsidR="003E46CC">
        <w:rPr>
          <w:rFonts w:ascii="Arial" w:hAnsi="Arial" w:cs="Arial"/>
          <w:sz w:val="24"/>
          <w:szCs w:val="24"/>
        </w:rPr>
        <w:t>dei commercialisti</w:t>
      </w:r>
      <w:r w:rsidR="009D05C9">
        <w:rPr>
          <w:rFonts w:ascii="Arial" w:hAnsi="Arial" w:cs="Arial"/>
          <w:sz w:val="24"/>
          <w:szCs w:val="24"/>
        </w:rPr>
        <w:t xml:space="preserve">, </w:t>
      </w:r>
      <w:r w:rsidR="009D05C9" w:rsidRPr="009D05C9">
        <w:rPr>
          <w:rFonts w:ascii="Arial" w:hAnsi="Arial" w:cs="Arial"/>
          <w:b/>
          <w:bCs/>
          <w:sz w:val="24"/>
          <w:szCs w:val="24"/>
        </w:rPr>
        <w:t>Elbano de Nuccio</w:t>
      </w:r>
      <w:r w:rsidR="009D05C9">
        <w:rPr>
          <w:rFonts w:ascii="Arial" w:hAnsi="Arial" w:cs="Arial"/>
          <w:b/>
          <w:bCs/>
          <w:sz w:val="24"/>
          <w:szCs w:val="24"/>
        </w:rPr>
        <w:t xml:space="preserve">. </w:t>
      </w:r>
      <w:r w:rsidR="009D05C9">
        <w:rPr>
          <w:rFonts w:ascii="Arial" w:hAnsi="Arial" w:cs="Arial"/>
          <w:sz w:val="24"/>
          <w:szCs w:val="24"/>
        </w:rPr>
        <w:t xml:space="preserve"> “Ringraziamo </w:t>
      </w:r>
      <w:r w:rsidRPr="00965104">
        <w:rPr>
          <w:rFonts w:ascii="Arial" w:hAnsi="Arial" w:cs="Arial"/>
          <w:sz w:val="24"/>
          <w:szCs w:val="24"/>
        </w:rPr>
        <w:t xml:space="preserve">l’Onorevole </w:t>
      </w:r>
      <w:proofErr w:type="spellStart"/>
      <w:r w:rsidRPr="00965104">
        <w:rPr>
          <w:rFonts w:ascii="Arial" w:hAnsi="Arial" w:cs="Arial"/>
          <w:sz w:val="24"/>
          <w:szCs w:val="24"/>
        </w:rPr>
        <w:t>Schifone</w:t>
      </w:r>
      <w:proofErr w:type="spellEnd"/>
      <w:r w:rsidRPr="00965104">
        <w:rPr>
          <w:rFonts w:ascii="Arial" w:hAnsi="Arial" w:cs="Arial"/>
          <w:sz w:val="24"/>
          <w:szCs w:val="24"/>
        </w:rPr>
        <w:t xml:space="preserve"> per la presentazione di una proposta di legge che </w:t>
      </w:r>
      <w:r w:rsidRPr="00965104">
        <w:rPr>
          <w:rFonts w:ascii="Arial" w:hAnsi="Arial" w:cs="Arial"/>
          <w:b/>
          <w:bCs/>
          <w:sz w:val="24"/>
          <w:szCs w:val="24"/>
        </w:rPr>
        <w:t>recepisce integralmente</w:t>
      </w:r>
      <w:r w:rsidRPr="00965104">
        <w:rPr>
          <w:rFonts w:ascii="Arial" w:hAnsi="Arial" w:cs="Arial"/>
          <w:sz w:val="24"/>
          <w:szCs w:val="24"/>
        </w:rPr>
        <w:t xml:space="preserve"> le posizioni da sempre da noi espresse su un tema </w:t>
      </w:r>
      <w:r w:rsidRPr="00965104">
        <w:rPr>
          <w:rFonts w:ascii="Arial" w:hAnsi="Arial" w:cs="Arial"/>
          <w:b/>
          <w:bCs/>
          <w:sz w:val="24"/>
          <w:szCs w:val="24"/>
        </w:rPr>
        <w:t>particolarmente sensibile e delicato</w:t>
      </w:r>
      <w:r w:rsidRPr="00965104">
        <w:rPr>
          <w:rFonts w:ascii="Arial" w:hAnsi="Arial" w:cs="Arial"/>
          <w:sz w:val="24"/>
          <w:szCs w:val="24"/>
        </w:rPr>
        <w:t xml:space="preserve"> per la professione”</w:t>
      </w:r>
      <w:r w:rsidR="009D05C9">
        <w:rPr>
          <w:rFonts w:ascii="Arial" w:hAnsi="Arial" w:cs="Arial"/>
          <w:sz w:val="24"/>
          <w:szCs w:val="24"/>
        </w:rPr>
        <w:t>, ha detto</w:t>
      </w:r>
      <w:r w:rsidR="00D937D7" w:rsidRPr="00965104">
        <w:rPr>
          <w:rFonts w:ascii="Arial" w:hAnsi="Arial" w:cs="Arial"/>
          <w:sz w:val="24"/>
          <w:szCs w:val="24"/>
        </w:rPr>
        <w:t xml:space="preserve">. De Nuccio ha ringraziato anche il sottosegretario alla presidenza del Consiglio dei ministri, </w:t>
      </w:r>
      <w:r w:rsidR="00D937D7" w:rsidRPr="00965104">
        <w:rPr>
          <w:rFonts w:ascii="Arial" w:hAnsi="Arial" w:cs="Arial"/>
          <w:b/>
          <w:bCs/>
          <w:sz w:val="24"/>
          <w:szCs w:val="24"/>
        </w:rPr>
        <w:t>Alfredo Mantovano</w:t>
      </w:r>
      <w:r w:rsidR="00D937D7" w:rsidRPr="00965104">
        <w:rPr>
          <w:rFonts w:ascii="Arial" w:hAnsi="Arial" w:cs="Arial"/>
          <w:sz w:val="24"/>
          <w:szCs w:val="24"/>
        </w:rPr>
        <w:t xml:space="preserve">, che “sta seguendo da vicino </w:t>
      </w:r>
      <w:r w:rsidR="004F2D32" w:rsidRPr="00965104">
        <w:rPr>
          <w:rFonts w:ascii="Arial" w:hAnsi="Arial" w:cs="Arial"/>
          <w:sz w:val="24"/>
          <w:szCs w:val="24"/>
        </w:rPr>
        <w:t>il dossier</w:t>
      </w:r>
      <w:r w:rsidR="00D937D7" w:rsidRPr="00965104">
        <w:rPr>
          <w:rFonts w:ascii="Arial" w:hAnsi="Arial" w:cs="Arial"/>
          <w:sz w:val="24"/>
          <w:szCs w:val="24"/>
        </w:rPr>
        <w:t>, mantenendo fede all’impegno preso sul tema</w:t>
      </w:r>
      <w:r w:rsidR="004F2D32" w:rsidRPr="00965104">
        <w:rPr>
          <w:rFonts w:ascii="Arial" w:hAnsi="Arial" w:cs="Arial"/>
          <w:sz w:val="24"/>
          <w:szCs w:val="24"/>
        </w:rPr>
        <w:t xml:space="preserve"> a maggio,</w:t>
      </w:r>
      <w:r w:rsidR="00D937D7" w:rsidRPr="00965104">
        <w:rPr>
          <w:rFonts w:ascii="Arial" w:hAnsi="Arial" w:cs="Arial"/>
          <w:sz w:val="24"/>
          <w:szCs w:val="24"/>
        </w:rPr>
        <w:t xml:space="preserve"> a nome del Governo</w:t>
      </w:r>
      <w:r w:rsidR="004F2D32" w:rsidRPr="00965104">
        <w:rPr>
          <w:rFonts w:ascii="Arial" w:hAnsi="Arial" w:cs="Arial"/>
          <w:sz w:val="24"/>
          <w:szCs w:val="24"/>
        </w:rPr>
        <w:t>,</w:t>
      </w:r>
      <w:r w:rsidR="00D937D7" w:rsidRPr="00965104">
        <w:rPr>
          <w:rFonts w:ascii="Arial" w:hAnsi="Arial" w:cs="Arial"/>
          <w:sz w:val="24"/>
          <w:szCs w:val="24"/>
        </w:rPr>
        <w:t xml:space="preserve"> ai nostri Stati Generali”. </w:t>
      </w:r>
      <w:r w:rsidR="000911D8" w:rsidRPr="00965104">
        <w:rPr>
          <w:rFonts w:ascii="Arial" w:hAnsi="Arial" w:cs="Arial"/>
          <w:sz w:val="24"/>
          <w:szCs w:val="24"/>
        </w:rPr>
        <w:t xml:space="preserve">L’auspicio dei commercialisti è che “la proposta di legge possa avere un </w:t>
      </w:r>
      <w:r w:rsidR="000911D8" w:rsidRPr="00965104">
        <w:rPr>
          <w:rFonts w:ascii="Arial" w:hAnsi="Arial" w:cs="Arial"/>
          <w:b/>
          <w:bCs/>
          <w:sz w:val="24"/>
          <w:szCs w:val="24"/>
        </w:rPr>
        <w:t>iter parlamentare rapido</w:t>
      </w:r>
      <w:r w:rsidR="000911D8" w:rsidRPr="00965104">
        <w:rPr>
          <w:rFonts w:ascii="Arial" w:hAnsi="Arial" w:cs="Arial"/>
          <w:sz w:val="24"/>
          <w:szCs w:val="24"/>
        </w:rPr>
        <w:t xml:space="preserve"> per giungere il prima possibile alla </w:t>
      </w:r>
      <w:r w:rsidR="000911D8" w:rsidRPr="00965104">
        <w:rPr>
          <w:rFonts w:ascii="Arial" w:hAnsi="Arial" w:cs="Arial"/>
          <w:b/>
          <w:bCs/>
          <w:sz w:val="24"/>
          <w:szCs w:val="24"/>
        </w:rPr>
        <w:t>definitiva approvazione</w:t>
      </w:r>
      <w:r w:rsidR="000911D8" w:rsidRPr="00965104">
        <w:rPr>
          <w:rFonts w:ascii="Arial" w:hAnsi="Arial" w:cs="Arial"/>
          <w:sz w:val="24"/>
          <w:szCs w:val="24"/>
        </w:rPr>
        <w:t xml:space="preserve">”. </w:t>
      </w:r>
    </w:p>
    <w:p w14:paraId="6068F7AA" w14:textId="77777777" w:rsidR="00965104" w:rsidRPr="00965104" w:rsidRDefault="00965104" w:rsidP="00D937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CEEE5" w14:textId="1F1E171A" w:rsidR="00BC6914" w:rsidRPr="00965104" w:rsidRDefault="004F2D32" w:rsidP="00D937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04">
        <w:rPr>
          <w:rFonts w:ascii="Arial" w:hAnsi="Arial" w:cs="Arial"/>
          <w:bCs/>
          <w:sz w:val="24"/>
          <w:szCs w:val="24"/>
        </w:rPr>
        <w:t xml:space="preserve">La proposta di legge - con la quale si intende apportare modifiche all’articolo 2407 del codice civile – prevede che, al di fuori delle ipotesi in cui hanno agito con dolo, anche nei casi in cui la revisione legale è esercitata da collegio sindacale a norma </w:t>
      </w:r>
      <w:r w:rsidRPr="00965104">
        <w:rPr>
          <w:rFonts w:ascii="Arial" w:hAnsi="Arial" w:cs="Arial"/>
          <w:sz w:val="24"/>
          <w:szCs w:val="24"/>
        </w:rPr>
        <w:t xml:space="preserve">dell’art. 2409-bis, secondo comma, i </w:t>
      </w:r>
      <w:r w:rsidRPr="00965104">
        <w:rPr>
          <w:rFonts w:ascii="Arial" w:hAnsi="Arial" w:cs="Arial"/>
          <w:b/>
          <w:bCs/>
          <w:sz w:val="24"/>
          <w:szCs w:val="24"/>
        </w:rPr>
        <w:t xml:space="preserve">sindaci </w:t>
      </w:r>
      <w:r w:rsidRPr="00965104">
        <w:rPr>
          <w:rFonts w:ascii="Arial" w:hAnsi="Arial" w:cs="Arial"/>
          <w:sz w:val="24"/>
          <w:szCs w:val="24"/>
        </w:rPr>
        <w:t xml:space="preserve">che violano i propri doveri </w:t>
      </w:r>
      <w:r w:rsidRPr="00965104">
        <w:rPr>
          <w:rFonts w:ascii="Arial" w:hAnsi="Arial" w:cs="Arial"/>
          <w:b/>
          <w:bCs/>
          <w:sz w:val="24"/>
          <w:szCs w:val="24"/>
        </w:rPr>
        <w:t>sono responsabili</w:t>
      </w:r>
      <w:r w:rsidRPr="00965104">
        <w:rPr>
          <w:rFonts w:ascii="Arial" w:hAnsi="Arial" w:cs="Arial"/>
          <w:sz w:val="24"/>
          <w:szCs w:val="24"/>
        </w:rPr>
        <w:t xml:space="preserve"> per i danni cagionati alla società che ha conferito l’incarico, ai suoi soci, ai creditori e ai terzi </w:t>
      </w:r>
      <w:r w:rsidRPr="00965104">
        <w:rPr>
          <w:rFonts w:ascii="Arial" w:hAnsi="Arial" w:cs="Arial"/>
          <w:b/>
          <w:bCs/>
          <w:sz w:val="24"/>
          <w:szCs w:val="24"/>
        </w:rPr>
        <w:t>nei limiti di un multiplo del compenso annuo percepito</w:t>
      </w:r>
      <w:r w:rsidRPr="00965104">
        <w:rPr>
          <w:rFonts w:ascii="Arial" w:hAnsi="Arial" w:cs="Arial"/>
          <w:sz w:val="24"/>
          <w:szCs w:val="24"/>
        </w:rPr>
        <w:t>, secondo i seguenti scaglioni: per i compensi da 0 a 10.000 euro, un multiplo pari a quindici volte il compenso; per i compensi da 10.000 a 50.000 euro, un multiplo pari a dodici volte il compenso; per i compensi maggiori di 50.000 euro, un multiplo pari a dieci volte il compenso. L’</w:t>
      </w:r>
      <w:r w:rsidRPr="00965104">
        <w:rPr>
          <w:rFonts w:ascii="Arial" w:hAnsi="Arial" w:cs="Arial"/>
          <w:b/>
          <w:bCs/>
          <w:sz w:val="24"/>
          <w:szCs w:val="24"/>
        </w:rPr>
        <w:t xml:space="preserve">azione di responsabilità </w:t>
      </w:r>
      <w:r w:rsidRPr="00965104">
        <w:rPr>
          <w:rFonts w:ascii="Arial" w:hAnsi="Arial" w:cs="Arial"/>
          <w:sz w:val="24"/>
          <w:szCs w:val="24"/>
        </w:rPr>
        <w:t xml:space="preserve">verso i sindaci si prescrive nel termine di </w:t>
      </w:r>
      <w:r w:rsidRPr="00965104">
        <w:rPr>
          <w:rFonts w:ascii="Arial" w:hAnsi="Arial" w:cs="Arial"/>
          <w:b/>
          <w:bCs/>
          <w:sz w:val="24"/>
          <w:szCs w:val="24"/>
        </w:rPr>
        <w:t>cinque anni</w:t>
      </w:r>
      <w:r w:rsidRPr="00965104">
        <w:rPr>
          <w:rFonts w:ascii="Arial" w:hAnsi="Arial" w:cs="Arial"/>
          <w:sz w:val="24"/>
          <w:szCs w:val="24"/>
        </w:rPr>
        <w:t xml:space="preserve"> dal deposito della relazione di cui all’art. 2429 c.c. relativa all’esercizio in cui si è verificato il danno. </w:t>
      </w:r>
    </w:p>
    <w:p w14:paraId="0D739350" w14:textId="77777777" w:rsidR="00965104" w:rsidRPr="00965104" w:rsidRDefault="00965104" w:rsidP="009651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18C66" w14:textId="77777777" w:rsidR="00965104" w:rsidRDefault="00965104" w:rsidP="009651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04">
        <w:rPr>
          <w:rFonts w:ascii="Arial" w:hAnsi="Arial" w:cs="Arial"/>
          <w:sz w:val="24"/>
          <w:szCs w:val="24"/>
        </w:rPr>
        <w:t xml:space="preserve">Attualmente, ai sensi dell’attuale art 2407, 2 comma, c.c., i sindaci </w:t>
      </w:r>
      <w:r w:rsidRPr="00965104">
        <w:rPr>
          <w:rFonts w:ascii="Arial" w:hAnsi="Arial" w:cs="Arial"/>
          <w:b/>
          <w:bCs/>
          <w:sz w:val="24"/>
          <w:szCs w:val="24"/>
        </w:rPr>
        <w:t>rispondono in solido con gli amministratori</w:t>
      </w:r>
      <w:r w:rsidRPr="00965104">
        <w:rPr>
          <w:rFonts w:ascii="Arial" w:hAnsi="Arial" w:cs="Arial"/>
          <w:sz w:val="24"/>
          <w:szCs w:val="24"/>
        </w:rPr>
        <w:t>, quando il danno non si sarebbe prodotto se essi avessero vigilato in conformità degli obblighi derivanti dalla carica. Senza quindi operare alcuna distinzione tra le due funzioni, amministratori e sindaci, quindi gestori e controllori, vengono posti, in tema di responsabilità, sullo stesso piano, con l’applicazione, per i secondi, spesso di elementi propri più della normativa penale, fondati sul concetto di “</w:t>
      </w:r>
      <w:r w:rsidRPr="00986ECF">
        <w:rPr>
          <w:rFonts w:ascii="Arial" w:hAnsi="Arial" w:cs="Arial"/>
          <w:b/>
          <w:bCs/>
          <w:sz w:val="24"/>
          <w:szCs w:val="24"/>
        </w:rPr>
        <w:t>dolo eventuale</w:t>
      </w:r>
      <w:r w:rsidRPr="00965104">
        <w:rPr>
          <w:rFonts w:ascii="Arial" w:hAnsi="Arial" w:cs="Arial"/>
          <w:sz w:val="24"/>
          <w:szCs w:val="24"/>
        </w:rPr>
        <w:t xml:space="preserve">”. </w:t>
      </w:r>
    </w:p>
    <w:p w14:paraId="7849086A" w14:textId="77777777" w:rsidR="00965104" w:rsidRDefault="00965104" w:rsidP="009651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86D6D6" w14:textId="5D5ED634" w:rsidR="000911D8" w:rsidRPr="00965104" w:rsidRDefault="004F2D32" w:rsidP="0096510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5104">
        <w:rPr>
          <w:rFonts w:ascii="Arial" w:hAnsi="Arial" w:cs="Arial"/>
          <w:color w:val="000000"/>
          <w:sz w:val="24"/>
          <w:szCs w:val="24"/>
        </w:rPr>
        <w:t>La proposta di r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evisionare la </w:t>
      </w:r>
      <w:r w:rsidR="000911D8" w:rsidRPr="00986ECF">
        <w:rPr>
          <w:rFonts w:ascii="Arial" w:hAnsi="Arial" w:cs="Arial"/>
          <w:color w:val="000000"/>
          <w:sz w:val="24"/>
          <w:szCs w:val="24"/>
        </w:rPr>
        <w:t>responsabilità civile degli organi di controllo delle società di capitali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di 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introdurre una sua migliore </w:t>
      </w:r>
      <w:r w:rsidR="000911D8" w:rsidRPr="00986ECF">
        <w:rPr>
          <w:rFonts w:ascii="Arial" w:hAnsi="Arial" w:cs="Arial"/>
          <w:color w:val="000000"/>
          <w:sz w:val="24"/>
          <w:szCs w:val="24"/>
        </w:rPr>
        <w:t>delimitazione</w:t>
      </w:r>
      <w:r w:rsidRPr="00986ECF">
        <w:rPr>
          <w:rFonts w:ascii="Arial" w:hAnsi="Arial" w:cs="Arial"/>
          <w:color w:val="000000"/>
          <w:sz w:val="24"/>
          <w:szCs w:val="24"/>
        </w:rPr>
        <w:t xml:space="preserve"> è una richiesta avanzata da tempo dal Consiglio nazionale dei commercialisti.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“Non si tratta </w:t>
      </w:r>
      <w:r w:rsidR="00965104" w:rsidRPr="00965104">
        <w:rPr>
          <w:rFonts w:ascii="Arial" w:hAnsi="Arial" w:cs="Arial"/>
          <w:color w:val="000000"/>
          <w:sz w:val="24"/>
          <w:szCs w:val="24"/>
        </w:rPr>
        <w:t>–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 </w:t>
      </w:r>
      <w:r w:rsidR="00965104" w:rsidRPr="00965104">
        <w:rPr>
          <w:rFonts w:ascii="Arial" w:hAnsi="Arial" w:cs="Arial"/>
          <w:color w:val="000000"/>
          <w:sz w:val="24"/>
          <w:szCs w:val="24"/>
        </w:rPr>
        <w:t xml:space="preserve">ha specificato 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de Nuccio - di </w:t>
      </w:r>
      <w:r w:rsidR="000911D8" w:rsidRPr="00965104">
        <w:rPr>
          <w:rFonts w:ascii="Arial" w:hAnsi="Arial" w:cs="Arial"/>
          <w:b/>
          <w:bCs/>
          <w:color w:val="000000"/>
          <w:sz w:val="24"/>
          <w:szCs w:val="24"/>
        </w:rPr>
        <w:t>evitare responsabilità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 per il proprio operato, bensì della necessità per il professionista coinvolto di poter agire in un </w:t>
      </w:r>
      <w:r w:rsidR="000911D8" w:rsidRPr="00965104">
        <w:rPr>
          <w:rFonts w:ascii="Arial" w:hAnsi="Arial" w:cs="Arial"/>
          <w:b/>
          <w:bCs/>
          <w:color w:val="000000"/>
          <w:sz w:val="24"/>
          <w:szCs w:val="24"/>
        </w:rPr>
        <w:t>perimetro leggibile dei confini</w:t>
      </w:r>
      <w:r w:rsidR="000911D8" w:rsidRPr="00965104">
        <w:rPr>
          <w:rFonts w:ascii="Arial" w:hAnsi="Arial" w:cs="Arial"/>
          <w:color w:val="000000"/>
          <w:sz w:val="24"/>
          <w:szCs w:val="24"/>
        </w:rPr>
        <w:t xml:space="preserve"> in cui la discrezionalità del proprio operato sia ritenuta legittima sul momento e anche successivamente”. </w:t>
      </w:r>
    </w:p>
    <w:p w14:paraId="03ECA2D7" w14:textId="77777777" w:rsidR="000911D8" w:rsidRPr="00965104" w:rsidRDefault="000911D8" w:rsidP="000911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65104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282FD671" w14:textId="7CB48D8B" w:rsidR="000911D8" w:rsidRPr="00965104" w:rsidRDefault="000911D8" w:rsidP="000911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65104">
        <w:rPr>
          <w:rFonts w:ascii="Arial" w:hAnsi="Arial" w:cs="Arial"/>
          <w:color w:val="000000"/>
          <w:sz w:val="24"/>
          <w:szCs w:val="24"/>
        </w:rPr>
        <w:t xml:space="preserve">“La </w:t>
      </w:r>
      <w:r w:rsidRPr="00986ECF">
        <w:rPr>
          <w:rFonts w:ascii="Arial" w:hAnsi="Arial" w:cs="Arial"/>
          <w:b/>
          <w:bCs/>
          <w:color w:val="000000"/>
          <w:sz w:val="24"/>
          <w:szCs w:val="24"/>
        </w:rPr>
        <w:t>responsabilità illimitata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965104" w:rsidRPr="00965104">
        <w:rPr>
          <w:rFonts w:ascii="Arial" w:hAnsi="Arial" w:cs="Arial"/>
          <w:color w:val="000000"/>
          <w:sz w:val="24"/>
          <w:szCs w:val="24"/>
        </w:rPr>
        <w:t xml:space="preserve">ha aggiunto 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– sta progressivamente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allontanando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 dagli incarichi di sindaco tutti quei professionisti che non intendono esporre la propria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reputazione professionale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 alla azione risarcitoria. L</w:t>
      </w:r>
      <w:r w:rsidR="00486D9B">
        <w:rPr>
          <w:rFonts w:ascii="Arial" w:hAnsi="Arial" w:cs="Arial"/>
          <w:color w:val="000000"/>
          <w:sz w:val="24"/>
          <w:szCs w:val="24"/>
        </w:rPr>
        <w:t>’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attuale assenza di qualunque limite produce reiterate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situazioni distorte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, soprattutto in sede di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procedure concorsuali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, laddove si riscontra troppo spesso che una delle principali fonti dell’attivo è data dal presumibile realizzo delle azioni risarcitorie esperite nei confronti degli unici soggetti che, per legge, sono assistiti da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copertura assicurativa</w:t>
      </w:r>
      <w:r w:rsidRPr="00965104">
        <w:rPr>
          <w:rFonts w:ascii="Arial" w:hAnsi="Arial" w:cs="Arial"/>
          <w:color w:val="000000"/>
          <w:sz w:val="24"/>
          <w:szCs w:val="24"/>
        </w:rPr>
        <w:t>: i professionisti componenti degli organi di controllo”.  </w:t>
      </w:r>
    </w:p>
    <w:p w14:paraId="7050DA5D" w14:textId="47C7F943" w:rsidR="000911D8" w:rsidRPr="00965104" w:rsidRDefault="000911D8" w:rsidP="000911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65104">
        <w:rPr>
          <w:rFonts w:ascii="Arial" w:hAnsi="Arial" w:cs="Arial"/>
          <w:color w:val="000000"/>
          <w:sz w:val="24"/>
          <w:szCs w:val="24"/>
        </w:rPr>
        <w:t xml:space="preserve">“Fermi restando i requisiti di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responsabilità professionale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, anche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deontologici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 oltre che risarcitori, che debbono restare assolutamente fermo </w:t>
      </w:r>
      <w:r w:rsidRPr="00965104">
        <w:rPr>
          <w:rFonts w:ascii="Arial" w:hAnsi="Arial" w:cs="Arial"/>
          <w:b/>
          <w:bCs/>
          <w:color w:val="000000"/>
          <w:sz w:val="24"/>
          <w:szCs w:val="24"/>
        </w:rPr>
        <w:t>presidio di legalità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965104" w:rsidRPr="00965104">
        <w:rPr>
          <w:rFonts w:ascii="Arial" w:hAnsi="Arial" w:cs="Arial"/>
          <w:color w:val="000000"/>
          <w:sz w:val="24"/>
          <w:szCs w:val="24"/>
        </w:rPr>
        <w:t xml:space="preserve">ha concluso 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– </w:t>
      </w:r>
      <w:r w:rsidR="00965104" w:rsidRPr="00965104">
        <w:rPr>
          <w:rFonts w:ascii="Arial" w:hAnsi="Arial" w:cs="Arial"/>
          <w:color w:val="000000"/>
          <w:sz w:val="24"/>
          <w:szCs w:val="24"/>
        </w:rPr>
        <w:t xml:space="preserve">questa proposta di legge introduce 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una </w:t>
      </w:r>
      <w:r w:rsidRPr="00986ECF">
        <w:rPr>
          <w:rFonts w:ascii="Arial" w:hAnsi="Arial" w:cs="Arial"/>
          <w:b/>
          <w:bCs/>
          <w:color w:val="000000"/>
          <w:sz w:val="24"/>
          <w:szCs w:val="24"/>
        </w:rPr>
        <w:t>determinazione quantitativa</w:t>
      </w:r>
      <w:r w:rsidRPr="00965104">
        <w:rPr>
          <w:rFonts w:ascii="Arial" w:hAnsi="Arial" w:cs="Arial"/>
          <w:color w:val="000000"/>
          <w:sz w:val="24"/>
          <w:szCs w:val="24"/>
        </w:rPr>
        <w:t xml:space="preserve"> al danno risarcibile, come già avvenuto nella esperienza di altri Paesi europei, con la tecnica dei </w:t>
      </w:r>
      <w:r w:rsidRPr="00986ECF">
        <w:rPr>
          <w:rFonts w:ascii="Arial" w:hAnsi="Arial" w:cs="Arial"/>
          <w:color w:val="000000"/>
          <w:sz w:val="24"/>
          <w:szCs w:val="24"/>
        </w:rPr>
        <w:t>multipli dei compensi attribuiti</w:t>
      </w:r>
      <w:r w:rsidR="00965104" w:rsidRPr="00986ECF">
        <w:rPr>
          <w:rFonts w:ascii="Arial" w:hAnsi="Arial" w:cs="Arial"/>
          <w:color w:val="000000"/>
          <w:sz w:val="24"/>
          <w:szCs w:val="24"/>
        </w:rPr>
        <w:t>. Una svolta attesa da tempo dalla nostra professione</w:t>
      </w:r>
      <w:r w:rsidR="00986ECF" w:rsidRPr="00986ECF">
        <w:rPr>
          <w:rFonts w:ascii="Arial" w:hAnsi="Arial" w:cs="Arial"/>
          <w:color w:val="000000"/>
          <w:sz w:val="24"/>
          <w:szCs w:val="24"/>
        </w:rPr>
        <w:t>,</w:t>
      </w:r>
      <w:r w:rsidR="00965104" w:rsidRPr="00986ECF">
        <w:rPr>
          <w:rFonts w:ascii="Arial" w:hAnsi="Arial" w:cs="Arial"/>
          <w:color w:val="000000"/>
          <w:sz w:val="24"/>
          <w:szCs w:val="24"/>
        </w:rPr>
        <w:t xml:space="preserve"> che</w:t>
      </w:r>
      <w:r w:rsidR="00986ECF" w:rsidRPr="00986ECF">
        <w:rPr>
          <w:rFonts w:ascii="Arial" w:hAnsi="Arial" w:cs="Arial"/>
          <w:color w:val="000000"/>
          <w:sz w:val="24"/>
          <w:szCs w:val="24"/>
        </w:rPr>
        <w:t xml:space="preserve"> porterebbe ad avere un approccio finalmente </w:t>
      </w:r>
      <w:r w:rsidR="00986ECF" w:rsidRPr="001B5378">
        <w:rPr>
          <w:rFonts w:ascii="Arial" w:hAnsi="Arial" w:cs="Arial"/>
          <w:b/>
          <w:bCs/>
          <w:color w:val="000000"/>
          <w:sz w:val="24"/>
          <w:szCs w:val="24"/>
        </w:rPr>
        <w:t>più sereno</w:t>
      </w:r>
      <w:r w:rsidR="00986ECF" w:rsidRPr="00986ECF">
        <w:rPr>
          <w:rFonts w:ascii="Arial" w:hAnsi="Arial" w:cs="Arial"/>
          <w:color w:val="000000"/>
          <w:sz w:val="24"/>
          <w:szCs w:val="24"/>
        </w:rPr>
        <w:t xml:space="preserve"> nello svolgimento di una funzione tanto delicat</w:t>
      </w:r>
      <w:r w:rsidR="001F2A1F">
        <w:rPr>
          <w:rFonts w:ascii="Arial" w:hAnsi="Arial" w:cs="Arial"/>
          <w:color w:val="000000"/>
          <w:sz w:val="24"/>
          <w:szCs w:val="24"/>
        </w:rPr>
        <w:t>a</w:t>
      </w:r>
      <w:r w:rsidR="00986ECF" w:rsidRPr="00986ECF">
        <w:rPr>
          <w:rFonts w:ascii="Arial" w:hAnsi="Arial" w:cs="Arial"/>
          <w:color w:val="000000"/>
          <w:sz w:val="24"/>
          <w:szCs w:val="24"/>
        </w:rPr>
        <w:t xml:space="preserve"> quanto</w:t>
      </w:r>
      <w:r w:rsidR="00986ECF" w:rsidRPr="001B5378">
        <w:rPr>
          <w:rFonts w:ascii="Arial" w:hAnsi="Arial" w:cs="Arial"/>
          <w:b/>
          <w:bCs/>
          <w:color w:val="000000"/>
          <w:sz w:val="24"/>
          <w:szCs w:val="24"/>
        </w:rPr>
        <w:t xml:space="preserve"> insostituibile</w:t>
      </w:r>
      <w:r w:rsidRPr="00986ECF">
        <w:rPr>
          <w:rFonts w:ascii="Arial" w:hAnsi="Arial" w:cs="Arial"/>
          <w:color w:val="000000"/>
          <w:sz w:val="24"/>
          <w:szCs w:val="24"/>
        </w:rPr>
        <w:t>”.</w:t>
      </w:r>
    </w:p>
    <w:p w14:paraId="676A73EE" w14:textId="4A82E454" w:rsidR="00D937D7" w:rsidRPr="00D937D7" w:rsidRDefault="00D937D7" w:rsidP="00BC69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937D7" w:rsidRPr="00D937D7" w:rsidSect="000911D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0471" w14:textId="77777777" w:rsidR="0038034D" w:rsidRDefault="0038034D" w:rsidP="00FA7C3B">
      <w:pPr>
        <w:spacing w:after="0" w:line="240" w:lineRule="auto"/>
      </w:pPr>
      <w:r>
        <w:separator/>
      </w:r>
    </w:p>
  </w:endnote>
  <w:endnote w:type="continuationSeparator" w:id="0">
    <w:p w14:paraId="50EB3648" w14:textId="77777777" w:rsidR="0038034D" w:rsidRDefault="0038034D" w:rsidP="00FA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607A" w14:textId="77777777" w:rsidR="0038034D" w:rsidRDefault="0038034D" w:rsidP="00FA7C3B">
      <w:pPr>
        <w:spacing w:after="0" w:line="240" w:lineRule="auto"/>
      </w:pPr>
      <w:r>
        <w:separator/>
      </w:r>
    </w:p>
  </w:footnote>
  <w:footnote w:type="continuationSeparator" w:id="0">
    <w:p w14:paraId="24C938A0" w14:textId="77777777" w:rsidR="0038034D" w:rsidRDefault="0038034D" w:rsidP="00FA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F079" w14:textId="77777777" w:rsidR="00FA7C3B" w:rsidRDefault="00FA7C3B" w:rsidP="00FA7C3B">
    <w:pPr>
      <w:pStyle w:val="Intestazione"/>
      <w:jc w:val="center"/>
    </w:pPr>
    <w:r>
      <w:rPr>
        <w:noProof/>
      </w:rPr>
      <w:drawing>
        <wp:inline distT="0" distB="0" distL="0" distR="0" wp14:anchorId="4EC0214C" wp14:editId="3BCA362E">
          <wp:extent cx="2314575" cy="786201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564" cy="79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4B"/>
    <w:rsid w:val="0005155F"/>
    <w:rsid w:val="000911D8"/>
    <w:rsid w:val="00091901"/>
    <w:rsid w:val="000B351F"/>
    <w:rsid w:val="000B6F91"/>
    <w:rsid w:val="000C31F6"/>
    <w:rsid w:val="000F4DE4"/>
    <w:rsid w:val="000F7E53"/>
    <w:rsid w:val="0015573D"/>
    <w:rsid w:val="0018149B"/>
    <w:rsid w:val="00193AD8"/>
    <w:rsid w:val="001B2141"/>
    <w:rsid w:val="001B5378"/>
    <w:rsid w:val="001C5401"/>
    <w:rsid w:val="001C59DF"/>
    <w:rsid w:val="001F2A1F"/>
    <w:rsid w:val="00245C2C"/>
    <w:rsid w:val="00265975"/>
    <w:rsid w:val="00270454"/>
    <w:rsid w:val="002726AF"/>
    <w:rsid w:val="002820C4"/>
    <w:rsid w:val="00292202"/>
    <w:rsid w:val="002B32E5"/>
    <w:rsid w:val="002D0EAF"/>
    <w:rsid w:val="002D31D3"/>
    <w:rsid w:val="002F445D"/>
    <w:rsid w:val="002F54CE"/>
    <w:rsid w:val="00300D47"/>
    <w:rsid w:val="003214A7"/>
    <w:rsid w:val="003364C3"/>
    <w:rsid w:val="0036232A"/>
    <w:rsid w:val="00366EAF"/>
    <w:rsid w:val="00372A6D"/>
    <w:rsid w:val="0037303D"/>
    <w:rsid w:val="003754A1"/>
    <w:rsid w:val="00376C52"/>
    <w:rsid w:val="0038034D"/>
    <w:rsid w:val="003954CE"/>
    <w:rsid w:val="003A02E2"/>
    <w:rsid w:val="003D601B"/>
    <w:rsid w:val="003E46CC"/>
    <w:rsid w:val="00411FF0"/>
    <w:rsid w:val="00486D9B"/>
    <w:rsid w:val="004A76A3"/>
    <w:rsid w:val="004F10F1"/>
    <w:rsid w:val="004F2ACD"/>
    <w:rsid w:val="004F2D32"/>
    <w:rsid w:val="00527058"/>
    <w:rsid w:val="00551447"/>
    <w:rsid w:val="00592CE0"/>
    <w:rsid w:val="005B7BA9"/>
    <w:rsid w:val="005C5A5D"/>
    <w:rsid w:val="005D56C7"/>
    <w:rsid w:val="005D7BB6"/>
    <w:rsid w:val="006D0FD8"/>
    <w:rsid w:val="006E33D6"/>
    <w:rsid w:val="00741347"/>
    <w:rsid w:val="007438AF"/>
    <w:rsid w:val="00775264"/>
    <w:rsid w:val="0078792D"/>
    <w:rsid w:val="00787ABF"/>
    <w:rsid w:val="007C11A8"/>
    <w:rsid w:val="007C3EFE"/>
    <w:rsid w:val="00851F45"/>
    <w:rsid w:val="00871774"/>
    <w:rsid w:val="008D450D"/>
    <w:rsid w:val="008E6016"/>
    <w:rsid w:val="00954481"/>
    <w:rsid w:val="00963CBF"/>
    <w:rsid w:val="00965104"/>
    <w:rsid w:val="00986ECF"/>
    <w:rsid w:val="00997178"/>
    <w:rsid w:val="00997419"/>
    <w:rsid w:val="009B369F"/>
    <w:rsid w:val="009B4BA0"/>
    <w:rsid w:val="009D05C9"/>
    <w:rsid w:val="009D68F3"/>
    <w:rsid w:val="009E05B9"/>
    <w:rsid w:val="009E300D"/>
    <w:rsid w:val="00A219E7"/>
    <w:rsid w:val="00A36025"/>
    <w:rsid w:val="00A51904"/>
    <w:rsid w:val="00A66BEE"/>
    <w:rsid w:val="00A826E3"/>
    <w:rsid w:val="00A850A4"/>
    <w:rsid w:val="00AA0DEB"/>
    <w:rsid w:val="00B267EC"/>
    <w:rsid w:val="00B60D8C"/>
    <w:rsid w:val="00BC6914"/>
    <w:rsid w:val="00BE3C26"/>
    <w:rsid w:val="00BE4B83"/>
    <w:rsid w:val="00C16E94"/>
    <w:rsid w:val="00C23EEB"/>
    <w:rsid w:val="00C53D4B"/>
    <w:rsid w:val="00C849AF"/>
    <w:rsid w:val="00CC3AA3"/>
    <w:rsid w:val="00CC58D5"/>
    <w:rsid w:val="00CD528A"/>
    <w:rsid w:val="00CE34EC"/>
    <w:rsid w:val="00CE4DF8"/>
    <w:rsid w:val="00CF59DD"/>
    <w:rsid w:val="00CF5A5A"/>
    <w:rsid w:val="00D169A2"/>
    <w:rsid w:val="00D27815"/>
    <w:rsid w:val="00D33E97"/>
    <w:rsid w:val="00D62E95"/>
    <w:rsid w:val="00D937D7"/>
    <w:rsid w:val="00DC6B25"/>
    <w:rsid w:val="00E05BCA"/>
    <w:rsid w:val="00E11A10"/>
    <w:rsid w:val="00E34D28"/>
    <w:rsid w:val="00E36C66"/>
    <w:rsid w:val="00E55B6A"/>
    <w:rsid w:val="00EF2CCC"/>
    <w:rsid w:val="00F22E97"/>
    <w:rsid w:val="00F33926"/>
    <w:rsid w:val="00F572F3"/>
    <w:rsid w:val="00F72FF4"/>
    <w:rsid w:val="00FA1F4D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C466"/>
  <w15:chartTrackingRefBased/>
  <w15:docId w15:val="{1505FA01-0CDF-4A79-B26B-B9408F2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C3B"/>
  </w:style>
  <w:style w:type="paragraph" w:styleId="Pidipagina">
    <w:name w:val="footer"/>
    <w:basedOn w:val="Normale"/>
    <w:link w:val="Pidipagina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C3B"/>
  </w:style>
  <w:style w:type="paragraph" w:styleId="NormaleWeb">
    <w:name w:val="Normal (Web)"/>
    <w:basedOn w:val="Normale"/>
    <w:uiPriority w:val="99"/>
    <w:unhideWhenUsed/>
    <w:rsid w:val="00F7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72FF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C3E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dcterms:created xsi:type="dcterms:W3CDTF">2023-07-06T06:54:00Z</dcterms:created>
  <dcterms:modified xsi:type="dcterms:W3CDTF">2023-07-06T06:54:00Z</dcterms:modified>
</cp:coreProperties>
</file>