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722B" w14:textId="77777777" w:rsidR="00210D0F" w:rsidRPr="00AE2556" w:rsidRDefault="00210D0F" w:rsidP="00AE2556">
      <w:pPr>
        <w:jc w:val="both"/>
        <w:rPr>
          <w:rFonts w:ascii="Arial" w:eastAsia="Times New Roman" w:hAnsi="Arial" w:cs="Arial"/>
          <w:b/>
          <w:bCs/>
          <w:color w:val="000000"/>
        </w:rPr>
      </w:pPr>
    </w:p>
    <w:p w14:paraId="54E42934" w14:textId="44CA67B9" w:rsidR="00210D0F" w:rsidRPr="0004760B" w:rsidRDefault="00210D0F" w:rsidP="00AE2556">
      <w:pPr>
        <w:jc w:val="center"/>
        <w:rPr>
          <w:rFonts w:ascii="Arial" w:eastAsia="Times New Roman" w:hAnsi="Arial" w:cs="Arial"/>
          <w:color w:val="000000"/>
          <w:sz w:val="23"/>
          <w:szCs w:val="23"/>
          <w:u w:val="single"/>
        </w:rPr>
      </w:pPr>
      <w:bookmarkStart w:id="0" w:name="_Hlk100827596"/>
      <w:r w:rsidRPr="0004760B">
        <w:rPr>
          <w:rFonts w:ascii="Arial" w:eastAsia="Times New Roman" w:hAnsi="Arial" w:cs="Arial"/>
          <w:b/>
          <w:bCs/>
          <w:color w:val="000000"/>
          <w:sz w:val="23"/>
          <w:szCs w:val="23"/>
          <w:u w:val="single"/>
        </w:rPr>
        <w:t>COMUNICATO STAMPA</w:t>
      </w:r>
    </w:p>
    <w:p w14:paraId="1E1EA670" w14:textId="77777777" w:rsidR="000166CA" w:rsidRPr="000166CA" w:rsidRDefault="000166CA" w:rsidP="000166CA">
      <w:pPr>
        <w:jc w:val="center"/>
        <w:rPr>
          <w:color w:val="000000"/>
          <w:sz w:val="23"/>
          <w:szCs w:val="23"/>
        </w:rPr>
      </w:pPr>
      <w:bookmarkStart w:id="1" w:name="_Toc235425486"/>
      <w:bookmarkEnd w:id="0"/>
      <w:r w:rsidRPr="000166CA">
        <w:rPr>
          <w:rFonts w:ascii="Arial" w:hAnsi="Arial" w:cs="Arial"/>
          <w:b/>
          <w:bCs/>
          <w:color w:val="000000"/>
          <w:sz w:val="23"/>
          <w:szCs w:val="23"/>
        </w:rPr>
        <w:t> </w:t>
      </w:r>
    </w:p>
    <w:bookmarkEnd w:id="1"/>
    <w:p w14:paraId="18E3DD46" w14:textId="77777777" w:rsidR="000166CA" w:rsidRPr="000166CA" w:rsidRDefault="000166CA" w:rsidP="000166CA">
      <w:pPr>
        <w:widowControl w:val="0"/>
        <w:tabs>
          <w:tab w:val="right" w:pos="9638"/>
        </w:tabs>
        <w:autoSpaceDE w:val="0"/>
        <w:autoSpaceDN w:val="0"/>
        <w:adjustRightInd w:val="0"/>
        <w:jc w:val="center"/>
        <w:rPr>
          <w:color w:val="000000"/>
          <w:sz w:val="23"/>
          <w:szCs w:val="23"/>
        </w:rPr>
      </w:pPr>
      <w:r w:rsidRPr="000166CA">
        <w:rPr>
          <w:rFonts w:ascii="Arial" w:hAnsi="Arial" w:cs="Arial"/>
          <w:b/>
          <w:bCs/>
          <w:color w:val="000000"/>
          <w:sz w:val="23"/>
          <w:szCs w:val="23"/>
        </w:rPr>
        <w:t>PNRR: COMMERCIALISTI, SU GIUSTIZIA TRIBUTARIA SPECIALIZZATA SI RISCHIA DI NON CENTRARE L’OBIETTIVO </w:t>
      </w:r>
    </w:p>
    <w:p w14:paraId="78AC7DF3" w14:textId="77777777" w:rsidR="000166CA" w:rsidRPr="000166CA" w:rsidRDefault="000166CA" w:rsidP="000166CA">
      <w:pPr>
        <w:widowControl w:val="0"/>
        <w:tabs>
          <w:tab w:val="right" w:pos="9638"/>
        </w:tabs>
        <w:autoSpaceDE w:val="0"/>
        <w:autoSpaceDN w:val="0"/>
        <w:adjustRightInd w:val="0"/>
        <w:jc w:val="center"/>
        <w:rPr>
          <w:color w:val="000000"/>
          <w:sz w:val="23"/>
          <w:szCs w:val="23"/>
        </w:rPr>
      </w:pPr>
      <w:r w:rsidRPr="000166CA">
        <w:rPr>
          <w:rFonts w:ascii="Arial" w:hAnsi="Arial" w:cs="Arial"/>
          <w:b/>
          <w:bCs/>
          <w:color w:val="000000"/>
          <w:sz w:val="23"/>
          <w:szCs w:val="23"/>
        </w:rPr>
        <w:t> </w:t>
      </w:r>
    </w:p>
    <w:p w14:paraId="0C68C3F9" w14:textId="6CAD93FF" w:rsidR="000166CA" w:rsidRPr="000166CA" w:rsidRDefault="000166CA" w:rsidP="000166CA">
      <w:pPr>
        <w:widowControl w:val="0"/>
        <w:tabs>
          <w:tab w:val="right" w:pos="9638"/>
        </w:tabs>
        <w:autoSpaceDE w:val="0"/>
        <w:autoSpaceDN w:val="0"/>
        <w:adjustRightInd w:val="0"/>
        <w:jc w:val="center"/>
        <w:rPr>
          <w:color w:val="000000"/>
          <w:sz w:val="23"/>
          <w:szCs w:val="23"/>
        </w:rPr>
      </w:pPr>
      <w:r w:rsidRPr="000166CA">
        <w:rPr>
          <w:rFonts w:ascii="Arial" w:hAnsi="Arial" w:cs="Arial"/>
          <w:b/>
          <w:bCs/>
          <w:color w:val="000000"/>
          <w:sz w:val="23"/>
          <w:szCs w:val="23"/>
        </w:rPr>
        <w:t>De Nuccio: “Con l’esclusione dei laureati in economia dal concorso per la nomina di magistrato tributario ci si priva di specifiche competenze tecnico-professionali nelle materie fiscali, di contabilità aziendale e bilancio fondamentali per il giudizio tributario di merito. Garantire l’interdisciplinarietà dei collegi giudicanti”. La posizione illustrata in una lettera a Governo e Parlamento </w:t>
      </w:r>
    </w:p>
    <w:p w14:paraId="2A32E221" w14:textId="77777777" w:rsidR="000166CA" w:rsidRPr="000166CA" w:rsidRDefault="000166CA" w:rsidP="000166CA">
      <w:pPr>
        <w:widowControl w:val="0"/>
        <w:tabs>
          <w:tab w:val="right" w:pos="9638"/>
        </w:tabs>
        <w:autoSpaceDE w:val="0"/>
        <w:autoSpaceDN w:val="0"/>
        <w:adjustRightInd w:val="0"/>
        <w:jc w:val="both"/>
        <w:rPr>
          <w:color w:val="000000"/>
          <w:sz w:val="23"/>
          <w:szCs w:val="23"/>
        </w:rPr>
      </w:pPr>
      <w:r w:rsidRPr="000166CA">
        <w:rPr>
          <w:rFonts w:ascii="Arial" w:hAnsi="Arial" w:cs="Arial"/>
          <w:color w:val="000000"/>
          <w:sz w:val="23"/>
          <w:szCs w:val="23"/>
        </w:rPr>
        <w:t> </w:t>
      </w:r>
    </w:p>
    <w:p w14:paraId="7D19C814" w14:textId="77777777" w:rsidR="000166CA" w:rsidRPr="000166CA" w:rsidRDefault="000166CA" w:rsidP="000166CA">
      <w:pPr>
        <w:widowControl w:val="0"/>
        <w:tabs>
          <w:tab w:val="right" w:pos="9638"/>
        </w:tabs>
        <w:autoSpaceDE w:val="0"/>
        <w:autoSpaceDN w:val="0"/>
        <w:adjustRightInd w:val="0"/>
        <w:jc w:val="both"/>
        <w:rPr>
          <w:color w:val="000000"/>
          <w:sz w:val="23"/>
          <w:szCs w:val="23"/>
        </w:rPr>
      </w:pPr>
      <w:r w:rsidRPr="000166CA">
        <w:rPr>
          <w:rFonts w:ascii="Arial" w:hAnsi="Arial" w:cs="Arial"/>
          <w:color w:val="000000"/>
          <w:sz w:val="23"/>
          <w:szCs w:val="23"/>
        </w:rPr>
        <w:t> </w:t>
      </w:r>
    </w:p>
    <w:p w14:paraId="611D9B07" w14:textId="4B2D002B" w:rsidR="000166CA" w:rsidRPr="000166CA" w:rsidRDefault="000166CA" w:rsidP="000166CA">
      <w:pPr>
        <w:jc w:val="both"/>
        <w:rPr>
          <w:color w:val="000000"/>
          <w:sz w:val="23"/>
          <w:szCs w:val="23"/>
        </w:rPr>
      </w:pPr>
      <w:r w:rsidRPr="000166CA">
        <w:rPr>
          <w:rFonts w:ascii="Arial" w:hAnsi="Arial" w:cs="Arial"/>
          <w:i/>
          <w:iCs/>
          <w:color w:val="000000"/>
          <w:sz w:val="23"/>
          <w:szCs w:val="23"/>
        </w:rPr>
        <w:t xml:space="preserve">Roma, 6 giugno 2022 – </w:t>
      </w:r>
      <w:r w:rsidRPr="000166CA">
        <w:rPr>
          <w:rFonts w:ascii="Arial" w:hAnsi="Arial" w:cs="Arial"/>
          <w:color w:val="000000"/>
          <w:sz w:val="23"/>
          <w:szCs w:val="23"/>
        </w:rPr>
        <w:t xml:space="preserve">“Il disegno di legge recante “Disposizioni in materia di giustizia e di processo tributari”, volto a realizzare l’obiettivo posto dal </w:t>
      </w:r>
      <w:r w:rsidRPr="000166CA">
        <w:rPr>
          <w:rFonts w:ascii="Arial" w:hAnsi="Arial" w:cs="Arial"/>
          <w:b/>
          <w:bCs/>
          <w:color w:val="000000"/>
          <w:sz w:val="23"/>
          <w:szCs w:val="23"/>
        </w:rPr>
        <w:t>PNRR</w:t>
      </w:r>
      <w:r w:rsidRPr="000166CA">
        <w:rPr>
          <w:rFonts w:ascii="Arial" w:hAnsi="Arial" w:cs="Arial"/>
          <w:color w:val="000000"/>
          <w:sz w:val="23"/>
          <w:szCs w:val="23"/>
        </w:rPr>
        <w:t xml:space="preserve"> di rendere più celere il </w:t>
      </w:r>
      <w:r w:rsidRPr="000166CA">
        <w:rPr>
          <w:rFonts w:ascii="Arial" w:hAnsi="Arial" w:cs="Arial"/>
          <w:b/>
          <w:bCs/>
          <w:color w:val="000000"/>
          <w:sz w:val="23"/>
          <w:szCs w:val="23"/>
        </w:rPr>
        <w:t>contenzioso tributario</w:t>
      </w:r>
      <w:r w:rsidRPr="000166CA">
        <w:rPr>
          <w:rFonts w:ascii="Arial" w:hAnsi="Arial" w:cs="Arial"/>
          <w:color w:val="000000"/>
          <w:sz w:val="23"/>
          <w:szCs w:val="23"/>
        </w:rPr>
        <w:t xml:space="preserve">, ha tra i punti cardine la </w:t>
      </w:r>
      <w:r w:rsidRPr="000166CA">
        <w:rPr>
          <w:rFonts w:ascii="Arial" w:hAnsi="Arial" w:cs="Arial"/>
          <w:b/>
          <w:bCs/>
          <w:color w:val="000000"/>
          <w:sz w:val="23"/>
          <w:szCs w:val="23"/>
        </w:rPr>
        <w:t>professionalizzazione</w:t>
      </w:r>
      <w:r w:rsidRPr="000166CA">
        <w:rPr>
          <w:rFonts w:ascii="Arial" w:hAnsi="Arial" w:cs="Arial"/>
          <w:color w:val="000000"/>
          <w:sz w:val="23"/>
          <w:szCs w:val="23"/>
        </w:rPr>
        <w:t xml:space="preserve"> dei magistrati tributari, con il loro reclutamento a tempo pieno mediante un concorso. Si tratta di una scelta decisiva per il rafforzamento della </w:t>
      </w:r>
      <w:r w:rsidRPr="000166CA">
        <w:rPr>
          <w:rFonts w:ascii="Arial" w:hAnsi="Arial" w:cs="Arial"/>
          <w:b/>
          <w:bCs/>
          <w:color w:val="000000"/>
          <w:sz w:val="23"/>
          <w:szCs w:val="23"/>
        </w:rPr>
        <w:t>specializzazione</w:t>
      </w:r>
      <w:r w:rsidRPr="000166CA">
        <w:rPr>
          <w:rFonts w:ascii="Arial" w:hAnsi="Arial" w:cs="Arial"/>
          <w:color w:val="000000"/>
          <w:sz w:val="23"/>
          <w:szCs w:val="23"/>
        </w:rPr>
        <w:t xml:space="preserve"> dei giudici tributari, che va nella direzione auspicata dal Consiglio nazionale dei commercialisti e dall’associazione dei professori universitari in diritto tributario, nonché dalla quasi totalità dei disegni di legge presentati negli ultimi anni. Ma l’ammissione al concorso per la nomina a </w:t>
      </w:r>
      <w:r w:rsidRPr="000166CA">
        <w:rPr>
          <w:rFonts w:ascii="Arial" w:hAnsi="Arial" w:cs="Arial"/>
          <w:b/>
          <w:bCs/>
          <w:color w:val="000000"/>
          <w:sz w:val="23"/>
          <w:szCs w:val="23"/>
        </w:rPr>
        <w:t xml:space="preserve">magistrato tributario </w:t>
      </w:r>
      <w:r w:rsidRPr="000166CA">
        <w:rPr>
          <w:rFonts w:ascii="Arial" w:hAnsi="Arial" w:cs="Arial"/>
          <w:color w:val="000000"/>
          <w:sz w:val="23"/>
          <w:szCs w:val="23"/>
        </w:rPr>
        <w:t xml:space="preserve">attualmente prevista dal disegno di legge per i soli </w:t>
      </w:r>
      <w:r w:rsidRPr="000166CA">
        <w:rPr>
          <w:rFonts w:ascii="Arial" w:hAnsi="Arial" w:cs="Arial"/>
          <w:b/>
          <w:bCs/>
          <w:color w:val="000000"/>
          <w:sz w:val="23"/>
          <w:szCs w:val="23"/>
        </w:rPr>
        <w:t>laureati in giurisprudenza,</w:t>
      </w:r>
      <w:r w:rsidRPr="000166CA">
        <w:rPr>
          <w:rFonts w:ascii="Arial" w:hAnsi="Arial" w:cs="Arial"/>
          <w:color w:val="000000"/>
          <w:sz w:val="23"/>
          <w:szCs w:val="23"/>
        </w:rPr>
        <w:t xml:space="preserve"> e non anche per quelli in </w:t>
      </w:r>
      <w:r w:rsidRPr="000166CA">
        <w:rPr>
          <w:rFonts w:ascii="Arial" w:hAnsi="Arial" w:cs="Arial"/>
          <w:b/>
          <w:bCs/>
          <w:color w:val="000000"/>
          <w:sz w:val="23"/>
          <w:szCs w:val="23"/>
        </w:rPr>
        <w:t>economia</w:t>
      </w:r>
      <w:r w:rsidRPr="000166CA">
        <w:rPr>
          <w:rFonts w:ascii="Arial" w:hAnsi="Arial" w:cs="Arial"/>
          <w:color w:val="000000"/>
          <w:sz w:val="23"/>
          <w:szCs w:val="23"/>
        </w:rPr>
        <w:t xml:space="preserve">, esclude competenze tecnico – professionali fondamentali e rischia di vanificare del tutto il dichiarato obiettivo di un rafforzamento della specializzazione del giudice tributario. Su questo fronte si rischia di non centrare l’obiettivo”. </w:t>
      </w:r>
      <w:r>
        <w:rPr>
          <w:rFonts w:ascii="Arial" w:hAnsi="Arial" w:cs="Arial"/>
          <w:color w:val="000000"/>
          <w:sz w:val="23"/>
          <w:szCs w:val="23"/>
        </w:rPr>
        <w:t xml:space="preserve">È </w:t>
      </w:r>
      <w:r w:rsidRPr="000166CA">
        <w:rPr>
          <w:rFonts w:ascii="Arial" w:hAnsi="Arial" w:cs="Arial"/>
          <w:color w:val="000000"/>
          <w:sz w:val="23"/>
          <w:szCs w:val="23"/>
        </w:rPr>
        <w:t xml:space="preserve">la posizione del Consiglio nazionale dei commercialisti, espressa dal suo presidente, </w:t>
      </w:r>
      <w:r w:rsidRPr="000166CA">
        <w:rPr>
          <w:rFonts w:ascii="Arial" w:hAnsi="Arial" w:cs="Arial"/>
          <w:b/>
          <w:bCs/>
          <w:color w:val="000000"/>
          <w:sz w:val="23"/>
          <w:szCs w:val="23"/>
        </w:rPr>
        <w:t>Elbano de Nuccio</w:t>
      </w:r>
      <w:r w:rsidRPr="000166CA">
        <w:rPr>
          <w:rFonts w:ascii="Arial" w:hAnsi="Arial" w:cs="Arial"/>
          <w:color w:val="000000"/>
          <w:sz w:val="23"/>
          <w:szCs w:val="23"/>
        </w:rPr>
        <w:t xml:space="preserve">, in una lettera inviata alla Ministra della Giustizia, </w:t>
      </w:r>
      <w:r w:rsidRPr="000166CA">
        <w:rPr>
          <w:rFonts w:ascii="Arial" w:hAnsi="Arial" w:cs="Arial"/>
          <w:b/>
          <w:bCs/>
          <w:color w:val="000000"/>
          <w:sz w:val="23"/>
          <w:szCs w:val="23"/>
        </w:rPr>
        <w:t>Marta Cartabia</w:t>
      </w:r>
      <w:r w:rsidRPr="000166CA">
        <w:rPr>
          <w:rFonts w:ascii="Arial" w:hAnsi="Arial" w:cs="Arial"/>
          <w:color w:val="000000"/>
          <w:sz w:val="23"/>
          <w:szCs w:val="23"/>
        </w:rPr>
        <w:t xml:space="preserve">, al Ministro dell’Economia, </w:t>
      </w:r>
      <w:r w:rsidRPr="000166CA">
        <w:rPr>
          <w:rFonts w:ascii="Arial" w:hAnsi="Arial" w:cs="Arial"/>
          <w:b/>
          <w:bCs/>
          <w:color w:val="000000"/>
          <w:sz w:val="23"/>
          <w:szCs w:val="23"/>
        </w:rPr>
        <w:t>Daniele Franco</w:t>
      </w:r>
      <w:r w:rsidRPr="000166CA">
        <w:rPr>
          <w:rFonts w:ascii="Arial" w:hAnsi="Arial" w:cs="Arial"/>
          <w:color w:val="000000"/>
          <w:sz w:val="23"/>
          <w:szCs w:val="23"/>
        </w:rPr>
        <w:t xml:space="preserve"> e ai presidenti delle </w:t>
      </w:r>
      <w:r w:rsidRPr="000166CA">
        <w:rPr>
          <w:rFonts w:ascii="Arial" w:hAnsi="Arial" w:cs="Arial"/>
          <w:b/>
          <w:bCs/>
          <w:color w:val="000000"/>
          <w:sz w:val="23"/>
          <w:szCs w:val="23"/>
        </w:rPr>
        <w:t>Commissioni Finanza e Giustizia di Camera e Senato</w:t>
      </w:r>
      <w:r w:rsidRPr="000166CA">
        <w:rPr>
          <w:rFonts w:ascii="Arial" w:hAnsi="Arial" w:cs="Arial"/>
          <w:color w:val="000000"/>
          <w:sz w:val="23"/>
          <w:szCs w:val="23"/>
        </w:rPr>
        <w:t>.  </w:t>
      </w:r>
    </w:p>
    <w:p w14:paraId="47D14DCF" w14:textId="77777777" w:rsidR="000166CA" w:rsidRPr="000166CA" w:rsidRDefault="000166CA" w:rsidP="000166CA">
      <w:pPr>
        <w:jc w:val="both"/>
        <w:rPr>
          <w:color w:val="000000"/>
          <w:sz w:val="23"/>
          <w:szCs w:val="23"/>
        </w:rPr>
      </w:pPr>
      <w:r w:rsidRPr="000166CA">
        <w:rPr>
          <w:rFonts w:ascii="Segoe UI" w:hAnsi="Segoe UI" w:cs="Segoe UI"/>
          <w:color w:val="201F1E"/>
          <w:sz w:val="23"/>
          <w:szCs w:val="23"/>
          <w:shd w:val="clear" w:color="auto" w:fill="FFFFFF"/>
        </w:rPr>
        <w:t> </w:t>
      </w:r>
    </w:p>
    <w:p w14:paraId="43A2D81D" w14:textId="1DDF3B76" w:rsidR="000166CA" w:rsidRPr="000166CA" w:rsidRDefault="000166CA" w:rsidP="000166CA">
      <w:pPr>
        <w:jc w:val="both"/>
        <w:rPr>
          <w:color w:val="000000"/>
          <w:sz w:val="23"/>
          <w:szCs w:val="23"/>
        </w:rPr>
      </w:pPr>
      <w:r w:rsidRPr="000166CA">
        <w:rPr>
          <w:rFonts w:ascii="Arial" w:hAnsi="Arial" w:cs="Arial"/>
          <w:color w:val="000000"/>
          <w:sz w:val="23"/>
          <w:szCs w:val="23"/>
        </w:rPr>
        <w:t>“La scelta di limitare ai soli laureati in giurisprudenza l’accesso al concorso – scrive de Nuccio – non è solo disallineata rispetto alla finalità di rafforzamento della specializzazione dei giudici tributari, ma anche foriera di un’</w:t>
      </w:r>
      <w:r w:rsidRPr="000166CA">
        <w:rPr>
          <w:rFonts w:ascii="Arial" w:hAnsi="Arial" w:cs="Arial"/>
          <w:b/>
          <w:bCs/>
          <w:color w:val="000000"/>
          <w:sz w:val="23"/>
          <w:szCs w:val="23"/>
        </w:rPr>
        <w:t xml:space="preserve">ingiustificata disparità </w:t>
      </w:r>
      <w:r w:rsidRPr="000166CA">
        <w:rPr>
          <w:rFonts w:ascii="Arial" w:hAnsi="Arial" w:cs="Arial"/>
          <w:color w:val="000000"/>
          <w:sz w:val="23"/>
          <w:szCs w:val="23"/>
        </w:rPr>
        <w:t xml:space="preserve">di trattamento a danno dei laureati in economia, tanto più laddove si consideri che proprio le </w:t>
      </w:r>
      <w:r w:rsidRPr="000166CA">
        <w:rPr>
          <w:rFonts w:ascii="Arial" w:hAnsi="Arial" w:cs="Arial"/>
          <w:b/>
          <w:bCs/>
          <w:color w:val="000000"/>
          <w:sz w:val="23"/>
          <w:szCs w:val="23"/>
        </w:rPr>
        <w:t>competenze tributarie</w:t>
      </w:r>
      <w:r w:rsidRPr="000166CA">
        <w:rPr>
          <w:rFonts w:ascii="Arial" w:hAnsi="Arial" w:cs="Arial"/>
          <w:color w:val="000000"/>
          <w:sz w:val="23"/>
          <w:szCs w:val="23"/>
        </w:rPr>
        <w:t xml:space="preserve"> dei Commercialisti hanno sinora assicurato la necessaria </w:t>
      </w:r>
      <w:r w:rsidRPr="000166CA">
        <w:rPr>
          <w:rFonts w:ascii="Arial" w:hAnsi="Arial" w:cs="Arial"/>
          <w:b/>
          <w:bCs/>
          <w:color w:val="000000"/>
          <w:sz w:val="23"/>
          <w:szCs w:val="23"/>
        </w:rPr>
        <w:t>interdisciplinarità</w:t>
      </w:r>
      <w:r w:rsidRPr="000166CA">
        <w:rPr>
          <w:rFonts w:ascii="Arial" w:hAnsi="Arial" w:cs="Arial"/>
          <w:color w:val="000000"/>
          <w:sz w:val="23"/>
          <w:szCs w:val="23"/>
        </w:rPr>
        <w:t xml:space="preserve"> delle attuali Commissioni tributarie. Quanto alla specializzazione del giudice tributario – prosegue </w:t>
      </w:r>
      <w:r>
        <w:rPr>
          <w:rFonts w:ascii="Arial" w:hAnsi="Arial" w:cs="Arial"/>
          <w:color w:val="000000"/>
          <w:sz w:val="23"/>
          <w:szCs w:val="23"/>
        </w:rPr>
        <w:t>–</w:t>
      </w:r>
      <w:r w:rsidRPr="000166CA">
        <w:rPr>
          <w:rFonts w:ascii="Arial" w:hAnsi="Arial" w:cs="Arial"/>
          <w:color w:val="000000"/>
          <w:sz w:val="23"/>
          <w:szCs w:val="23"/>
        </w:rPr>
        <w:t xml:space="preserve"> </w:t>
      </w:r>
      <w:r>
        <w:rPr>
          <w:rFonts w:ascii="Arial" w:hAnsi="Arial" w:cs="Arial"/>
          <w:color w:val="000000"/>
          <w:sz w:val="23"/>
          <w:szCs w:val="23"/>
        </w:rPr>
        <w:t xml:space="preserve">è </w:t>
      </w:r>
      <w:r w:rsidRPr="000166CA">
        <w:rPr>
          <w:rFonts w:ascii="Arial" w:hAnsi="Arial" w:cs="Arial"/>
          <w:color w:val="000000"/>
          <w:sz w:val="23"/>
          <w:szCs w:val="23"/>
        </w:rPr>
        <w:t xml:space="preserve">evidente che l’esclusione dei laureati in economia priva la giustizia tributaria di quel bagaglio di specifiche competenze tecnico-professionali nelle </w:t>
      </w:r>
      <w:r w:rsidRPr="000166CA">
        <w:rPr>
          <w:rFonts w:ascii="Arial" w:hAnsi="Arial" w:cs="Arial"/>
          <w:b/>
          <w:bCs/>
          <w:color w:val="000000"/>
          <w:sz w:val="23"/>
          <w:szCs w:val="23"/>
        </w:rPr>
        <w:t>materie fiscali, di contabilità aziendale e bilancio</w:t>
      </w:r>
      <w:r w:rsidRPr="000166CA">
        <w:rPr>
          <w:rFonts w:ascii="Arial" w:hAnsi="Arial" w:cs="Arial"/>
          <w:color w:val="000000"/>
          <w:sz w:val="23"/>
          <w:szCs w:val="23"/>
        </w:rPr>
        <w:t xml:space="preserve"> che sono fondamentali per il giudizio tributario di merito e che non sono invece rinvenibili nei laureati in giurisprudenza. Un laureato in economia che superi le prove di esame nelle materie previste, ivi incluse dunque quelle più propriamente giuridiche, potrebbe favorevolmente garantire una maggiore interdisciplinarità dei collegi giudicanti a tutto vantaggio di una giustizia </w:t>
      </w:r>
      <w:proofErr w:type="spellStart"/>
      <w:r w:rsidRPr="000166CA">
        <w:rPr>
          <w:rFonts w:ascii="Arial" w:hAnsi="Arial" w:cs="Arial"/>
          <w:color w:val="000000"/>
          <w:sz w:val="23"/>
          <w:szCs w:val="23"/>
        </w:rPr>
        <w:t>iperspecialistica</w:t>
      </w:r>
      <w:proofErr w:type="spellEnd"/>
      <w:r w:rsidRPr="000166CA">
        <w:rPr>
          <w:rFonts w:ascii="Arial" w:hAnsi="Arial" w:cs="Arial"/>
          <w:color w:val="000000"/>
          <w:sz w:val="23"/>
          <w:szCs w:val="23"/>
        </w:rPr>
        <w:t xml:space="preserve"> come quella tributaria che presenta un tasso medio di </w:t>
      </w:r>
      <w:r w:rsidRPr="000166CA">
        <w:rPr>
          <w:rFonts w:ascii="Arial" w:hAnsi="Arial" w:cs="Arial"/>
          <w:b/>
          <w:bCs/>
          <w:color w:val="000000"/>
          <w:sz w:val="23"/>
          <w:szCs w:val="23"/>
        </w:rPr>
        <w:t>complessità piuttosto elevato</w:t>
      </w:r>
      <w:r w:rsidRPr="000166CA">
        <w:rPr>
          <w:rFonts w:ascii="Arial" w:hAnsi="Arial" w:cs="Arial"/>
          <w:color w:val="000000"/>
          <w:sz w:val="23"/>
          <w:szCs w:val="23"/>
        </w:rPr>
        <w:t>”.</w:t>
      </w:r>
      <w:r w:rsidRPr="000166CA">
        <w:rPr>
          <w:rFonts w:ascii="Tahoma" w:hAnsi="Tahoma" w:cs="Tahoma"/>
          <w:color w:val="000000"/>
          <w:sz w:val="23"/>
          <w:szCs w:val="23"/>
        </w:rPr>
        <w:t> </w:t>
      </w:r>
    </w:p>
    <w:p w14:paraId="26E01A26" w14:textId="77777777" w:rsidR="00193F26" w:rsidRPr="000166CA" w:rsidRDefault="00193F26" w:rsidP="00193F26">
      <w:pPr>
        <w:widowControl w:val="0"/>
        <w:tabs>
          <w:tab w:val="right" w:pos="9638"/>
        </w:tabs>
        <w:autoSpaceDE w:val="0"/>
        <w:autoSpaceDN w:val="0"/>
        <w:adjustRightInd w:val="0"/>
        <w:jc w:val="both"/>
        <w:rPr>
          <w:rFonts w:ascii="Arial" w:hAnsi="Arial" w:cs="Arial"/>
          <w:color w:val="000000"/>
          <w:sz w:val="23"/>
          <w:szCs w:val="23"/>
        </w:rPr>
      </w:pPr>
      <w:r w:rsidRPr="000166CA">
        <w:rPr>
          <w:rFonts w:ascii="Arial" w:hAnsi="Arial" w:cs="Arial"/>
          <w:color w:val="000000"/>
          <w:sz w:val="23"/>
          <w:szCs w:val="23"/>
        </w:rPr>
        <w:t> </w:t>
      </w:r>
    </w:p>
    <w:p w14:paraId="453C3EBD" w14:textId="2F554E24" w:rsidR="0071223C" w:rsidRDefault="0071223C" w:rsidP="00A00101">
      <w:pPr>
        <w:pStyle w:val="NormaleWeb"/>
        <w:spacing w:before="0" w:beforeAutospacing="0" w:after="0" w:afterAutospacing="0"/>
        <w:jc w:val="both"/>
        <w:rPr>
          <w:rFonts w:ascii="Arial" w:hAnsi="Arial" w:cs="Arial"/>
          <w:sz w:val="23"/>
          <w:szCs w:val="23"/>
        </w:rPr>
      </w:pPr>
    </w:p>
    <w:p w14:paraId="76A38B53" w14:textId="77777777" w:rsidR="006D084D" w:rsidRPr="00193F26" w:rsidRDefault="006D084D" w:rsidP="00A00101">
      <w:pPr>
        <w:pStyle w:val="NormaleWeb"/>
        <w:spacing w:before="0" w:beforeAutospacing="0" w:after="0" w:afterAutospacing="0"/>
        <w:jc w:val="both"/>
        <w:rPr>
          <w:rFonts w:ascii="Arial" w:hAnsi="Arial" w:cs="Arial"/>
          <w:sz w:val="23"/>
          <w:szCs w:val="23"/>
        </w:rPr>
      </w:pPr>
    </w:p>
    <w:p w14:paraId="45AC1BDE" w14:textId="73E0E993" w:rsidR="003D617D" w:rsidRPr="00193F26" w:rsidRDefault="00F5014E" w:rsidP="00AE2556">
      <w:pPr>
        <w:jc w:val="both"/>
        <w:rPr>
          <w:rFonts w:ascii="Arial" w:eastAsia="Times New Roman" w:hAnsi="Arial" w:cs="Arial"/>
          <w:sz w:val="23"/>
          <w:szCs w:val="23"/>
          <w:lang w:eastAsia="it-IT"/>
        </w:rPr>
      </w:pPr>
      <w:r w:rsidRPr="00193F26">
        <w:rPr>
          <w:rFonts w:ascii="Arial" w:eastAsia="Times New Roman" w:hAnsi="Arial" w:cs="Arial"/>
          <w:sz w:val="23"/>
          <w:szCs w:val="23"/>
          <w:lang w:eastAsia="it-IT"/>
        </w:rPr>
        <w:t>---</w:t>
      </w:r>
      <w:r w:rsidR="003D617D" w:rsidRPr="00193F26">
        <w:rPr>
          <w:rFonts w:ascii="Arial" w:eastAsia="Times New Roman" w:hAnsi="Arial" w:cs="Arial"/>
          <w:sz w:val="23"/>
          <w:szCs w:val="23"/>
          <w:lang w:eastAsia="it-IT"/>
        </w:rPr>
        <w:t>--</w:t>
      </w:r>
    </w:p>
    <w:p w14:paraId="51B092C2" w14:textId="77777777" w:rsidR="003D617D" w:rsidRPr="004B2695" w:rsidRDefault="003D617D" w:rsidP="003D617D">
      <w:pPr>
        <w:rPr>
          <w:rFonts w:ascii="Arial" w:hAnsi="Arial" w:cs="Arial"/>
          <w:b/>
          <w:sz w:val="20"/>
          <w:szCs w:val="20"/>
        </w:rPr>
      </w:pPr>
      <w:r w:rsidRPr="004B2695">
        <w:rPr>
          <w:rFonts w:ascii="Arial" w:hAnsi="Arial" w:cs="Arial"/>
          <w:b/>
          <w:sz w:val="20"/>
          <w:szCs w:val="20"/>
        </w:rPr>
        <w:t>Ufficio stampa Consiglio nazionale dei commercialisti</w:t>
      </w:r>
    </w:p>
    <w:p w14:paraId="7DFAF03E" w14:textId="2E2D3807" w:rsidR="003D617D" w:rsidRDefault="00A00101" w:rsidP="003D617D">
      <w:pPr>
        <w:rPr>
          <w:rFonts w:ascii="Arial" w:hAnsi="Arial" w:cs="Arial"/>
          <w:sz w:val="20"/>
          <w:szCs w:val="20"/>
        </w:rPr>
      </w:pPr>
      <w:r>
        <w:rPr>
          <w:rFonts w:ascii="Arial" w:hAnsi="Arial" w:cs="Arial"/>
          <w:sz w:val="20"/>
          <w:szCs w:val="20"/>
        </w:rPr>
        <w:t>Mauro Parracino</w:t>
      </w:r>
    </w:p>
    <w:p w14:paraId="1EDF7D93" w14:textId="0111AAAA" w:rsidR="003D617D" w:rsidRPr="004B2695" w:rsidRDefault="00A00101" w:rsidP="003D617D">
      <w:pPr>
        <w:rPr>
          <w:rFonts w:ascii="Arial" w:hAnsi="Arial" w:cs="Arial"/>
          <w:sz w:val="20"/>
          <w:szCs w:val="20"/>
        </w:rPr>
      </w:pPr>
      <w:r>
        <w:rPr>
          <w:rFonts w:ascii="Arial" w:hAnsi="Arial" w:cs="Arial"/>
          <w:sz w:val="20"/>
          <w:szCs w:val="20"/>
        </w:rPr>
        <w:t>parracino</w:t>
      </w:r>
      <w:r w:rsidR="003D617D" w:rsidRPr="004B2695">
        <w:rPr>
          <w:rFonts w:ascii="Arial" w:hAnsi="Arial" w:cs="Arial"/>
          <w:sz w:val="20"/>
          <w:szCs w:val="20"/>
        </w:rPr>
        <w:t>@commercialisti.it</w:t>
      </w:r>
    </w:p>
    <w:p w14:paraId="088F078B" w14:textId="526F49B7" w:rsidR="00F5014E" w:rsidRPr="004B2695" w:rsidRDefault="00F5014E" w:rsidP="003D617D">
      <w:pPr>
        <w:pStyle w:val="Firmadipostaelettronica"/>
        <w:rPr>
          <w:rFonts w:ascii="Arial" w:hAnsi="Arial" w:cs="Arial"/>
          <w:sz w:val="20"/>
          <w:szCs w:val="20"/>
        </w:rPr>
      </w:pPr>
      <w:r>
        <w:rPr>
          <w:rFonts w:ascii="Arial" w:hAnsi="Arial" w:cs="Arial"/>
          <w:sz w:val="20"/>
          <w:szCs w:val="20"/>
        </w:rPr>
        <w:t>334.3837514</w:t>
      </w:r>
    </w:p>
    <w:sectPr w:rsidR="00F5014E" w:rsidRPr="004B2695"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4F2B" w14:textId="77777777" w:rsidR="006949AA" w:rsidRDefault="006949AA" w:rsidP="00627996">
      <w:r>
        <w:separator/>
      </w:r>
    </w:p>
  </w:endnote>
  <w:endnote w:type="continuationSeparator" w:id="0">
    <w:p w14:paraId="05EDA43B" w14:textId="77777777" w:rsidR="006949AA" w:rsidRDefault="006949AA"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32AAA" w14:textId="77777777" w:rsidR="006949AA" w:rsidRDefault="006949AA" w:rsidP="00627996">
      <w:r>
        <w:separator/>
      </w:r>
    </w:p>
  </w:footnote>
  <w:footnote w:type="continuationSeparator" w:id="0">
    <w:p w14:paraId="7D970ABA" w14:textId="77777777" w:rsidR="006949AA" w:rsidRDefault="006949AA"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166CA"/>
    <w:rsid w:val="0004760B"/>
    <w:rsid w:val="00065EFA"/>
    <w:rsid w:val="000F2092"/>
    <w:rsid w:val="00103A6A"/>
    <w:rsid w:val="0012750F"/>
    <w:rsid w:val="001777C2"/>
    <w:rsid w:val="00184319"/>
    <w:rsid w:val="00193F26"/>
    <w:rsid w:val="001B3759"/>
    <w:rsid w:val="001C217E"/>
    <w:rsid w:val="001C3CCF"/>
    <w:rsid w:val="001D0C92"/>
    <w:rsid w:val="00206248"/>
    <w:rsid w:val="00210D0F"/>
    <w:rsid w:val="00237BEE"/>
    <w:rsid w:val="002B1170"/>
    <w:rsid w:val="002B1507"/>
    <w:rsid w:val="002E31F2"/>
    <w:rsid w:val="003248FA"/>
    <w:rsid w:val="003367D1"/>
    <w:rsid w:val="00365A9B"/>
    <w:rsid w:val="003C2FC0"/>
    <w:rsid w:val="003D617D"/>
    <w:rsid w:val="003E0594"/>
    <w:rsid w:val="0041384F"/>
    <w:rsid w:val="00433438"/>
    <w:rsid w:val="004E7923"/>
    <w:rsid w:val="00595991"/>
    <w:rsid w:val="00612609"/>
    <w:rsid w:val="00627996"/>
    <w:rsid w:val="00656CC5"/>
    <w:rsid w:val="00667303"/>
    <w:rsid w:val="006949AA"/>
    <w:rsid w:val="006D084D"/>
    <w:rsid w:val="0071223C"/>
    <w:rsid w:val="00734687"/>
    <w:rsid w:val="00787DC5"/>
    <w:rsid w:val="007B26A7"/>
    <w:rsid w:val="008D2C7A"/>
    <w:rsid w:val="00986D90"/>
    <w:rsid w:val="009A3D78"/>
    <w:rsid w:val="009D1104"/>
    <w:rsid w:val="009F27EC"/>
    <w:rsid w:val="00A00101"/>
    <w:rsid w:val="00AC6BB0"/>
    <w:rsid w:val="00AE2556"/>
    <w:rsid w:val="00BD4233"/>
    <w:rsid w:val="00C32042"/>
    <w:rsid w:val="00C95C0A"/>
    <w:rsid w:val="00CB75EA"/>
    <w:rsid w:val="00CD5A5F"/>
    <w:rsid w:val="00CE681E"/>
    <w:rsid w:val="00CF0355"/>
    <w:rsid w:val="00D0285A"/>
    <w:rsid w:val="00D41E98"/>
    <w:rsid w:val="00DB4B99"/>
    <w:rsid w:val="00E00239"/>
    <w:rsid w:val="00F4452F"/>
    <w:rsid w:val="00F5014E"/>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 w:type="paragraph" w:styleId="Firmadipostaelettronica">
    <w:name w:val="E-mail Signature"/>
    <w:basedOn w:val="Normale"/>
    <w:link w:val="FirmadipostaelettronicaCarattere"/>
    <w:uiPriority w:val="99"/>
    <w:unhideWhenUsed/>
    <w:rsid w:val="003D617D"/>
    <w:rPr>
      <w:rFonts w:eastAsiaTheme="minorEastAsia"/>
      <w:sz w:val="22"/>
      <w:szCs w:val="22"/>
      <w:lang w:eastAsia="it-IT"/>
    </w:rPr>
  </w:style>
  <w:style w:type="character" w:customStyle="1" w:styleId="FirmadipostaelettronicaCarattere">
    <w:name w:val="Firma di posta elettronica Carattere"/>
    <w:basedOn w:val="Carpredefinitoparagrafo"/>
    <w:link w:val="Firmadipostaelettronica"/>
    <w:uiPriority w:val="99"/>
    <w:rsid w:val="003D617D"/>
    <w:rPr>
      <w:rFonts w:eastAsiaTheme="minorEastAsia"/>
      <w:sz w:val="22"/>
      <w:szCs w:val="22"/>
      <w:lang w:eastAsia="it-IT"/>
    </w:rPr>
  </w:style>
  <w:style w:type="character" w:styleId="Enfasigrassetto">
    <w:name w:val="Strong"/>
    <w:basedOn w:val="Carpredefinitoparagrafo"/>
    <w:uiPriority w:val="22"/>
    <w:qFormat/>
    <w:rsid w:val="00A00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541136436">
      <w:bodyDiv w:val="1"/>
      <w:marLeft w:val="0"/>
      <w:marRight w:val="0"/>
      <w:marTop w:val="0"/>
      <w:marBottom w:val="0"/>
      <w:divBdr>
        <w:top w:val="none" w:sz="0" w:space="0" w:color="auto"/>
        <w:left w:val="none" w:sz="0" w:space="0" w:color="auto"/>
        <w:bottom w:val="none" w:sz="0" w:space="0" w:color="auto"/>
        <w:right w:val="none" w:sz="0" w:space="0" w:color="auto"/>
      </w:divBdr>
    </w:div>
    <w:div w:id="783576733">
      <w:bodyDiv w:val="1"/>
      <w:marLeft w:val="0"/>
      <w:marRight w:val="0"/>
      <w:marTop w:val="0"/>
      <w:marBottom w:val="0"/>
      <w:divBdr>
        <w:top w:val="none" w:sz="0" w:space="0" w:color="auto"/>
        <w:left w:val="none" w:sz="0" w:space="0" w:color="auto"/>
        <w:bottom w:val="none" w:sz="0" w:space="0" w:color="auto"/>
        <w:right w:val="none" w:sz="0" w:space="0" w:color="auto"/>
      </w:divBdr>
    </w:div>
    <w:div w:id="859779204">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142770350">
      <w:bodyDiv w:val="1"/>
      <w:marLeft w:val="0"/>
      <w:marRight w:val="0"/>
      <w:marTop w:val="0"/>
      <w:marBottom w:val="0"/>
      <w:divBdr>
        <w:top w:val="none" w:sz="0" w:space="0" w:color="auto"/>
        <w:left w:val="none" w:sz="0" w:space="0" w:color="auto"/>
        <w:bottom w:val="none" w:sz="0" w:space="0" w:color="auto"/>
        <w:right w:val="none" w:sz="0" w:space="0" w:color="auto"/>
      </w:divBdr>
    </w:div>
    <w:div w:id="175905761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489</Words>
  <Characters>2792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12</cp:revision>
  <dcterms:created xsi:type="dcterms:W3CDTF">2022-05-31T13:32:00Z</dcterms:created>
  <dcterms:modified xsi:type="dcterms:W3CDTF">2022-06-06T08:10:00Z</dcterms:modified>
</cp:coreProperties>
</file>