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93EB" w14:textId="77777777" w:rsidR="00783F13" w:rsidRDefault="00783F13" w:rsidP="00783F13">
      <w:pPr>
        <w:pStyle w:val="NormaleWeb"/>
        <w:spacing w:before="0" w:beforeAutospacing="0" w:after="0" w:afterAutospacing="0"/>
        <w:jc w:val="center"/>
        <w:textAlignment w:val="baseline"/>
        <w:rPr>
          <w:rFonts w:ascii="Arial" w:hAnsi="Arial" w:cs="Arial"/>
          <w:b/>
          <w:bCs/>
          <w:color w:val="424242"/>
          <w:bdr w:val="none" w:sz="0" w:space="0" w:color="auto" w:frame="1"/>
        </w:rPr>
      </w:pPr>
    </w:p>
    <w:p w14:paraId="2360D229" w14:textId="77777777" w:rsidR="00783F13" w:rsidRDefault="00783F13" w:rsidP="00783F13">
      <w:pPr>
        <w:pStyle w:val="NormaleWeb"/>
        <w:spacing w:before="0" w:beforeAutospacing="0" w:after="0" w:afterAutospacing="0"/>
        <w:jc w:val="center"/>
        <w:textAlignment w:val="baseline"/>
        <w:rPr>
          <w:rFonts w:ascii="Arial" w:hAnsi="Arial" w:cs="Arial"/>
          <w:b/>
          <w:bCs/>
          <w:color w:val="424242"/>
          <w:bdr w:val="none" w:sz="0" w:space="0" w:color="auto" w:frame="1"/>
        </w:rPr>
      </w:pPr>
    </w:p>
    <w:p w14:paraId="62D18955" w14:textId="790080F9" w:rsidR="0046470F" w:rsidRPr="00783F13" w:rsidRDefault="00783F13" w:rsidP="00783F13">
      <w:pPr>
        <w:pStyle w:val="NormaleWeb"/>
        <w:spacing w:before="0" w:beforeAutospacing="0" w:after="0" w:afterAutospacing="0"/>
        <w:jc w:val="center"/>
        <w:textAlignment w:val="baseline"/>
        <w:rPr>
          <w:rFonts w:ascii="Arial" w:hAnsi="Arial" w:cs="Arial"/>
          <w:b/>
          <w:bCs/>
          <w:color w:val="424242"/>
          <w:u w:val="single"/>
          <w:bdr w:val="none" w:sz="0" w:space="0" w:color="auto" w:frame="1"/>
        </w:rPr>
      </w:pPr>
      <w:r w:rsidRPr="00783F13">
        <w:rPr>
          <w:rFonts w:ascii="Arial" w:hAnsi="Arial" w:cs="Arial"/>
          <w:b/>
          <w:bCs/>
          <w:color w:val="424242"/>
          <w:u w:val="single"/>
          <w:bdr w:val="none" w:sz="0" w:space="0" w:color="auto" w:frame="1"/>
        </w:rPr>
        <w:t>Comunicato stampa</w:t>
      </w:r>
    </w:p>
    <w:p w14:paraId="0D922BEC" w14:textId="77777777" w:rsidR="0046470F" w:rsidRPr="00783F13" w:rsidRDefault="0046470F" w:rsidP="00783F13">
      <w:pPr>
        <w:pStyle w:val="NormaleWeb"/>
        <w:spacing w:before="0" w:beforeAutospacing="0" w:after="0" w:afterAutospacing="0"/>
        <w:jc w:val="center"/>
        <w:textAlignment w:val="baseline"/>
        <w:rPr>
          <w:rFonts w:ascii="Arial" w:hAnsi="Arial" w:cs="Arial"/>
          <w:color w:val="424242"/>
          <w:bdr w:val="none" w:sz="0" w:space="0" w:color="auto" w:frame="1"/>
        </w:rPr>
      </w:pPr>
    </w:p>
    <w:p w14:paraId="46901F78" w14:textId="74BF8C3F" w:rsidR="0046470F" w:rsidRPr="00783F13" w:rsidRDefault="0046470F" w:rsidP="00783F13">
      <w:pPr>
        <w:pStyle w:val="NormaleWeb"/>
        <w:spacing w:before="0" w:beforeAutospacing="0" w:after="0" w:afterAutospacing="0"/>
        <w:jc w:val="center"/>
        <w:textAlignment w:val="baseline"/>
        <w:rPr>
          <w:rFonts w:ascii="Arial" w:hAnsi="Arial" w:cs="Arial"/>
          <w:b/>
          <w:bCs/>
          <w:color w:val="424242"/>
          <w:bdr w:val="none" w:sz="0" w:space="0" w:color="auto" w:frame="1"/>
        </w:rPr>
      </w:pPr>
      <w:r w:rsidRPr="00783F13">
        <w:rPr>
          <w:rFonts w:ascii="Arial" w:hAnsi="Arial" w:cs="Arial"/>
          <w:b/>
          <w:bCs/>
          <w:color w:val="424242"/>
          <w:bdr w:val="none" w:sz="0" w:space="0" w:color="auto" w:frame="1"/>
        </w:rPr>
        <w:t xml:space="preserve">CRISI D’IMPRESA, DAI COMMERCIALISTI I FACSIMILI DELLE RELAZIONI </w:t>
      </w:r>
      <w:r w:rsidR="0006285E" w:rsidRPr="00783F13">
        <w:rPr>
          <w:rFonts w:ascii="Arial" w:hAnsi="Arial" w:cs="Arial"/>
          <w:b/>
          <w:bCs/>
          <w:color w:val="424242"/>
          <w:bdr w:val="none" w:sz="0" w:space="0" w:color="auto" w:frame="1"/>
        </w:rPr>
        <w:t>DEL GESTORE E LA MODULISTICA PER GLI OCC</w:t>
      </w:r>
    </w:p>
    <w:p w14:paraId="4F56C1C2" w14:textId="77777777" w:rsidR="0006285E" w:rsidRPr="00783F13" w:rsidRDefault="0006285E" w:rsidP="00783F13">
      <w:pPr>
        <w:pStyle w:val="NormaleWeb"/>
        <w:spacing w:before="0" w:beforeAutospacing="0" w:after="0" w:afterAutospacing="0"/>
        <w:jc w:val="center"/>
        <w:textAlignment w:val="baseline"/>
        <w:rPr>
          <w:rFonts w:ascii="Arial" w:hAnsi="Arial" w:cs="Arial"/>
          <w:b/>
          <w:bCs/>
          <w:color w:val="424242"/>
          <w:bdr w:val="none" w:sz="0" w:space="0" w:color="auto" w:frame="1"/>
        </w:rPr>
      </w:pPr>
    </w:p>
    <w:p w14:paraId="4B369D14" w14:textId="104B4BF4" w:rsidR="0006285E" w:rsidRDefault="0006285E" w:rsidP="00783F13">
      <w:pPr>
        <w:pStyle w:val="NormaleWeb"/>
        <w:spacing w:before="0" w:beforeAutospacing="0" w:after="0" w:afterAutospacing="0"/>
        <w:jc w:val="center"/>
        <w:textAlignment w:val="baseline"/>
        <w:rPr>
          <w:rFonts w:ascii="Arial" w:hAnsi="Arial" w:cs="Arial"/>
          <w:b/>
          <w:bCs/>
          <w:color w:val="424242"/>
          <w:bdr w:val="none" w:sz="0" w:space="0" w:color="auto" w:frame="1"/>
        </w:rPr>
      </w:pPr>
      <w:r w:rsidRPr="00783F13">
        <w:rPr>
          <w:rFonts w:ascii="Arial" w:hAnsi="Arial" w:cs="Arial"/>
          <w:b/>
          <w:bCs/>
          <w:color w:val="424242"/>
          <w:bdr w:val="none" w:sz="0" w:space="0" w:color="auto" w:frame="1"/>
        </w:rPr>
        <w:t>Un documento pratico e operativo. Aggiornata e integrata la modulistica</w:t>
      </w:r>
    </w:p>
    <w:p w14:paraId="120F3798" w14:textId="77777777" w:rsidR="00783F13" w:rsidRPr="00783F13" w:rsidRDefault="00783F13" w:rsidP="00783F13">
      <w:pPr>
        <w:pStyle w:val="NormaleWeb"/>
        <w:spacing w:before="0" w:beforeAutospacing="0" w:after="0" w:afterAutospacing="0"/>
        <w:jc w:val="center"/>
        <w:textAlignment w:val="baseline"/>
        <w:rPr>
          <w:rFonts w:ascii="Arial" w:hAnsi="Arial" w:cs="Arial"/>
          <w:b/>
          <w:bCs/>
          <w:color w:val="424242"/>
          <w:bdr w:val="none" w:sz="0" w:space="0" w:color="auto" w:frame="1"/>
        </w:rPr>
      </w:pPr>
    </w:p>
    <w:p w14:paraId="26297DEE" w14:textId="77777777" w:rsidR="0006285E" w:rsidRPr="00783F13" w:rsidRDefault="0006285E" w:rsidP="00783F13">
      <w:pPr>
        <w:pStyle w:val="NormaleWeb"/>
        <w:spacing w:before="0" w:beforeAutospacing="0" w:after="0" w:afterAutospacing="0"/>
        <w:jc w:val="both"/>
        <w:textAlignment w:val="baseline"/>
        <w:rPr>
          <w:rFonts w:ascii="Arial" w:hAnsi="Arial" w:cs="Arial"/>
          <w:b/>
          <w:bCs/>
          <w:i/>
          <w:iCs/>
          <w:color w:val="424242"/>
          <w:bdr w:val="none" w:sz="0" w:space="0" w:color="auto" w:frame="1"/>
        </w:rPr>
      </w:pPr>
    </w:p>
    <w:p w14:paraId="69181AD6" w14:textId="66FD2333" w:rsidR="0046470F" w:rsidRPr="00783F13" w:rsidRDefault="0006285E" w:rsidP="00783F13">
      <w:pPr>
        <w:pStyle w:val="NormaleWeb"/>
        <w:spacing w:before="0" w:beforeAutospacing="0" w:after="0" w:afterAutospacing="0"/>
        <w:jc w:val="both"/>
        <w:textAlignment w:val="baseline"/>
        <w:rPr>
          <w:rFonts w:ascii="Arial" w:hAnsi="Arial" w:cs="Arial"/>
          <w:color w:val="424242"/>
          <w:bdr w:val="none" w:sz="0" w:space="0" w:color="auto" w:frame="1"/>
        </w:rPr>
      </w:pPr>
      <w:r w:rsidRPr="00783F13">
        <w:rPr>
          <w:rFonts w:ascii="Arial" w:hAnsi="Arial" w:cs="Arial"/>
          <w:i/>
          <w:iCs/>
          <w:color w:val="424242"/>
          <w:bdr w:val="none" w:sz="0" w:space="0" w:color="auto" w:frame="1"/>
        </w:rPr>
        <w:t>Roma, 6 marzo 2024 -</w:t>
      </w:r>
      <w:r w:rsidRPr="00783F13">
        <w:rPr>
          <w:rFonts w:ascii="Arial" w:hAnsi="Arial" w:cs="Arial"/>
          <w:color w:val="424242"/>
          <w:bdr w:val="none" w:sz="0" w:space="0" w:color="auto" w:frame="1"/>
        </w:rPr>
        <w:t xml:space="preserve"> </w:t>
      </w:r>
      <w:r w:rsidR="0046470F" w:rsidRPr="00783F13">
        <w:rPr>
          <w:rFonts w:ascii="Arial" w:hAnsi="Arial" w:cs="Arial"/>
          <w:color w:val="424242"/>
          <w:bdr w:val="none" w:sz="0" w:space="0" w:color="auto" w:frame="1"/>
        </w:rPr>
        <w:t>Il Consiglio nazionale dei commercialisti ha pubblicato il documento “</w:t>
      </w:r>
      <w:r w:rsidR="0046470F" w:rsidRPr="00783F13">
        <w:rPr>
          <w:rFonts w:ascii="Arial" w:hAnsi="Arial" w:cs="Arial"/>
          <w:b/>
          <w:bCs/>
          <w:color w:val="424242"/>
          <w:bdr w:val="none" w:sz="0" w:space="0" w:color="auto" w:frame="1"/>
        </w:rPr>
        <w:t>Facsimili delle relazioni del gestore della crisi e modulistica a uso degli OCC</w:t>
      </w:r>
      <w:r w:rsidR="0046470F" w:rsidRPr="00783F13">
        <w:rPr>
          <w:rFonts w:ascii="Arial" w:hAnsi="Arial" w:cs="Arial"/>
          <w:color w:val="424242"/>
          <w:bdr w:val="none" w:sz="0" w:space="0" w:color="auto" w:frame="1"/>
        </w:rPr>
        <w:t xml:space="preserve">”, curato dalla Commissione di studio “Sovraindebitamento e procedure minori”, la cui attività rientra nell’area di delega “Funzioni giudiziarie” seguita dal segretario nazionale </w:t>
      </w:r>
      <w:r w:rsidR="0046470F" w:rsidRPr="00783F13">
        <w:rPr>
          <w:rFonts w:ascii="Arial" w:hAnsi="Arial" w:cs="Arial"/>
          <w:b/>
          <w:bCs/>
          <w:color w:val="424242"/>
          <w:bdr w:val="none" w:sz="0" w:space="0" w:color="auto" w:frame="1"/>
        </w:rPr>
        <w:t>Giovanna Greco</w:t>
      </w:r>
      <w:r w:rsidR="0046470F" w:rsidRPr="00783F13">
        <w:rPr>
          <w:rFonts w:ascii="Arial" w:hAnsi="Arial" w:cs="Arial"/>
          <w:color w:val="424242"/>
          <w:bdr w:val="none" w:sz="0" w:space="0" w:color="auto" w:frame="1"/>
        </w:rPr>
        <w:t xml:space="preserve">. </w:t>
      </w:r>
    </w:p>
    <w:p w14:paraId="5CDC1320" w14:textId="77777777" w:rsidR="0046470F" w:rsidRPr="00783F13" w:rsidRDefault="0046470F" w:rsidP="00783F13">
      <w:pPr>
        <w:pStyle w:val="NormaleWeb"/>
        <w:spacing w:before="0" w:beforeAutospacing="0" w:after="0" w:afterAutospacing="0"/>
        <w:jc w:val="both"/>
        <w:textAlignment w:val="baseline"/>
        <w:rPr>
          <w:rFonts w:ascii="Arial" w:hAnsi="Arial" w:cs="Arial"/>
          <w:color w:val="424242"/>
          <w:bdr w:val="none" w:sz="0" w:space="0" w:color="auto" w:frame="1"/>
        </w:rPr>
      </w:pPr>
    </w:p>
    <w:p w14:paraId="6A3B779C" w14:textId="2F75DB11" w:rsidR="0046470F" w:rsidRPr="00783F13" w:rsidRDefault="0046470F" w:rsidP="00783F13">
      <w:pPr>
        <w:pStyle w:val="NormaleWeb"/>
        <w:spacing w:before="0" w:beforeAutospacing="0" w:after="0" w:afterAutospacing="0"/>
        <w:jc w:val="both"/>
        <w:textAlignment w:val="baseline"/>
        <w:rPr>
          <w:rFonts w:ascii="Arial" w:hAnsi="Arial" w:cs="Arial"/>
          <w:color w:val="424242"/>
        </w:rPr>
      </w:pPr>
      <w:r w:rsidRPr="00783F13">
        <w:rPr>
          <w:rFonts w:ascii="Arial" w:hAnsi="Arial" w:cs="Arial"/>
          <w:color w:val="424242"/>
          <w:bdr w:val="none" w:sz="0" w:space="0" w:color="auto" w:frame="1"/>
        </w:rPr>
        <w:t xml:space="preserve">Il documento è un </w:t>
      </w:r>
      <w:r w:rsidRPr="00783F13">
        <w:rPr>
          <w:rFonts w:ascii="Arial" w:hAnsi="Arial" w:cs="Arial"/>
          <w:b/>
          <w:bCs/>
          <w:color w:val="424242"/>
          <w:bdr w:val="none" w:sz="0" w:space="0" w:color="auto" w:frame="1"/>
        </w:rPr>
        <w:t>utile strumento</w:t>
      </w:r>
      <w:r w:rsidRPr="00783F13">
        <w:rPr>
          <w:rFonts w:ascii="Arial" w:hAnsi="Arial" w:cs="Arial"/>
          <w:color w:val="424242"/>
          <w:bdr w:val="none" w:sz="0" w:space="0" w:color="auto" w:frame="1"/>
        </w:rPr>
        <w:t xml:space="preserve"> a presidio delle molteplici attività svolte dagli OCC (Organismi di composizione della crisi) e dei gestori della crisi e, in continuità con quanto fatto dal Consiglio nazionale dei Commercialisti in precedenti occasioni, </w:t>
      </w:r>
      <w:r w:rsidRPr="00783F13">
        <w:rPr>
          <w:rFonts w:ascii="Arial" w:hAnsi="Arial" w:cs="Arial"/>
          <w:b/>
          <w:bCs/>
          <w:color w:val="424242"/>
          <w:bdr w:val="none" w:sz="0" w:space="0" w:color="auto" w:frame="1"/>
        </w:rPr>
        <w:t>aggiorna e integra</w:t>
      </w:r>
      <w:r w:rsidRPr="00783F13">
        <w:rPr>
          <w:rFonts w:ascii="Arial" w:hAnsi="Arial" w:cs="Arial"/>
          <w:color w:val="424242"/>
          <w:bdr w:val="none" w:sz="0" w:space="0" w:color="auto" w:frame="1"/>
        </w:rPr>
        <w:t xml:space="preserve"> la modulistica finora diffusa agli Ordini territoriali della categoria e ai loro OCC in considerazione delle novità apportate dal </w:t>
      </w:r>
      <w:r w:rsidRPr="00783F13">
        <w:rPr>
          <w:rFonts w:ascii="Arial" w:hAnsi="Arial" w:cs="Arial"/>
          <w:b/>
          <w:bCs/>
          <w:color w:val="424242"/>
          <w:bdr w:val="none" w:sz="0" w:space="0" w:color="auto" w:frame="1"/>
        </w:rPr>
        <w:t>Codice della crisi d’impresa e dell’insolvenza</w:t>
      </w:r>
      <w:r w:rsidRPr="00783F13">
        <w:rPr>
          <w:rFonts w:ascii="Arial" w:hAnsi="Arial" w:cs="Arial"/>
          <w:color w:val="424242"/>
          <w:bdr w:val="none" w:sz="0" w:space="0" w:color="auto" w:frame="1"/>
        </w:rPr>
        <w:t>.</w:t>
      </w:r>
    </w:p>
    <w:p w14:paraId="5E4E4A38" w14:textId="3F89AD75" w:rsidR="0046470F" w:rsidRDefault="0046470F" w:rsidP="00783F13">
      <w:pPr>
        <w:jc w:val="both"/>
        <w:rPr>
          <w:rFonts w:ascii="Arial" w:hAnsi="Arial" w:cs="Arial"/>
          <w:sz w:val="24"/>
          <w:szCs w:val="24"/>
        </w:rPr>
      </w:pPr>
      <w:r w:rsidRPr="00783F13">
        <w:rPr>
          <w:rFonts w:ascii="Arial" w:hAnsi="Arial" w:cs="Arial"/>
          <w:sz w:val="24"/>
          <w:szCs w:val="24"/>
        </w:rPr>
        <w:t>Dopo la definitiva entrata in vigore del d.lgs. 12 gennaio 2019, n. 14 la disciplina della crisi da sovraindebitamento risulta differentemente articolata rispetto alle previsioni e agli istituti presenti nella legge 27 gennaio 2012, n. 3 (e successive modifiche e integrazioni).</w:t>
      </w:r>
    </w:p>
    <w:p w14:paraId="2F7F4C40" w14:textId="77777777" w:rsidR="00783F13" w:rsidRPr="00783F13" w:rsidRDefault="00783F13" w:rsidP="00783F13">
      <w:pPr>
        <w:jc w:val="both"/>
        <w:rPr>
          <w:rFonts w:ascii="Arial" w:hAnsi="Arial" w:cs="Arial"/>
          <w:sz w:val="24"/>
          <w:szCs w:val="24"/>
        </w:rPr>
      </w:pPr>
    </w:p>
    <w:p w14:paraId="7C823CF4" w14:textId="5485C722" w:rsidR="0046470F" w:rsidRDefault="0046470F" w:rsidP="00783F13">
      <w:pPr>
        <w:jc w:val="both"/>
        <w:rPr>
          <w:rFonts w:ascii="Arial" w:hAnsi="Arial" w:cs="Arial"/>
          <w:sz w:val="24"/>
          <w:szCs w:val="24"/>
        </w:rPr>
      </w:pPr>
      <w:r w:rsidRPr="00783F13">
        <w:rPr>
          <w:rFonts w:ascii="Arial" w:hAnsi="Arial" w:cs="Arial"/>
          <w:sz w:val="24"/>
          <w:szCs w:val="24"/>
        </w:rPr>
        <w:t xml:space="preserve">Il Capo II, del Titolo IV, reca le disposizioni relative alla </w:t>
      </w:r>
      <w:r w:rsidRPr="00783F13">
        <w:rPr>
          <w:rFonts w:ascii="Arial" w:hAnsi="Arial" w:cs="Arial"/>
          <w:b/>
          <w:bCs/>
          <w:sz w:val="24"/>
          <w:szCs w:val="24"/>
        </w:rPr>
        <w:t>ristrutturazione dei debiti</w:t>
      </w:r>
      <w:r w:rsidRPr="00783F13">
        <w:rPr>
          <w:rFonts w:ascii="Arial" w:hAnsi="Arial" w:cs="Arial"/>
          <w:sz w:val="24"/>
          <w:szCs w:val="24"/>
        </w:rPr>
        <w:t xml:space="preserve"> del consumatore e al concordato minore, oltre alle </w:t>
      </w:r>
      <w:r w:rsidRPr="00783F13">
        <w:rPr>
          <w:rFonts w:ascii="Arial" w:hAnsi="Arial" w:cs="Arial"/>
          <w:b/>
          <w:bCs/>
          <w:sz w:val="24"/>
          <w:szCs w:val="24"/>
        </w:rPr>
        <w:t>disposizioni di carattere generale</w:t>
      </w:r>
      <w:r w:rsidRPr="00783F13">
        <w:rPr>
          <w:rFonts w:ascii="Arial" w:hAnsi="Arial" w:cs="Arial"/>
          <w:sz w:val="24"/>
          <w:szCs w:val="24"/>
        </w:rPr>
        <w:t xml:space="preserve">. Alle procedure di sovraindebitamento, per quanto non specificatamente previsto, si applicano le disposizioni del Titolo III del medesimo d.lgs. 12 gennaio 2019, n. 14, che, oltre a definire le regole ordine a giurisdizione e competenza, disciplina l’accesso agli </w:t>
      </w:r>
      <w:r w:rsidRPr="00783F13">
        <w:rPr>
          <w:rFonts w:ascii="Arial" w:hAnsi="Arial" w:cs="Arial"/>
          <w:b/>
          <w:bCs/>
          <w:sz w:val="24"/>
          <w:szCs w:val="24"/>
        </w:rPr>
        <w:t>strumenti di regolazione della crisi e dell’insolvenza</w:t>
      </w:r>
      <w:r w:rsidRPr="00783F13">
        <w:rPr>
          <w:rFonts w:ascii="Arial" w:hAnsi="Arial" w:cs="Arial"/>
          <w:sz w:val="24"/>
          <w:szCs w:val="24"/>
        </w:rPr>
        <w:t xml:space="preserve"> (artt. 65 -83).</w:t>
      </w:r>
    </w:p>
    <w:p w14:paraId="3FCFCB41" w14:textId="77777777" w:rsidR="00783F13" w:rsidRPr="00783F13" w:rsidRDefault="00783F13" w:rsidP="00783F13">
      <w:pPr>
        <w:jc w:val="both"/>
        <w:rPr>
          <w:rFonts w:ascii="Arial" w:hAnsi="Arial" w:cs="Arial"/>
          <w:sz w:val="24"/>
          <w:szCs w:val="24"/>
        </w:rPr>
      </w:pPr>
    </w:p>
    <w:p w14:paraId="2B694B16" w14:textId="77777777" w:rsidR="0046470F" w:rsidRDefault="0046470F" w:rsidP="00783F13">
      <w:pPr>
        <w:jc w:val="both"/>
        <w:rPr>
          <w:rFonts w:ascii="Arial" w:hAnsi="Arial" w:cs="Arial"/>
          <w:sz w:val="24"/>
          <w:szCs w:val="24"/>
        </w:rPr>
      </w:pPr>
      <w:r w:rsidRPr="00783F13">
        <w:rPr>
          <w:rFonts w:ascii="Arial" w:hAnsi="Arial" w:cs="Arial"/>
          <w:sz w:val="24"/>
          <w:szCs w:val="24"/>
        </w:rPr>
        <w:t xml:space="preserve">Il Capo IX, del titolo V, reca le disposizioni relative alla </w:t>
      </w:r>
      <w:r w:rsidRPr="00783F13">
        <w:rPr>
          <w:rFonts w:ascii="Arial" w:hAnsi="Arial" w:cs="Arial"/>
          <w:b/>
          <w:bCs/>
          <w:sz w:val="24"/>
          <w:szCs w:val="24"/>
        </w:rPr>
        <w:t>liquidazione controllata</w:t>
      </w:r>
      <w:r w:rsidRPr="00783F13">
        <w:rPr>
          <w:rFonts w:ascii="Arial" w:hAnsi="Arial" w:cs="Arial"/>
          <w:sz w:val="24"/>
          <w:szCs w:val="24"/>
        </w:rPr>
        <w:t xml:space="preserve"> del </w:t>
      </w:r>
      <w:proofErr w:type="spellStart"/>
      <w:r w:rsidRPr="00783F13">
        <w:rPr>
          <w:rFonts w:ascii="Arial" w:hAnsi="Arial" w:cs="Arial"/>
          <w:sz w:val="24"/>
          <w:szCs w:val="24"/>
        </w:rPr>
        <w:t>sovraindebitato</w:t>
      </w:r>
      <w:proofErr w:type="spellEnd"/>
      <w:r w:rsidRPr="00783F13">
        <w:rPr>
          <w:rFonts w:ascii="Arial" w:hAnsi="Arial" w:cs="Arial"/>
          <w:sz w:val="24"/>
          <w:szCs w:val="24"/>
        </w:rPr>
        <w:t xml:space="preserve"> e il successivo Capo X risulta dedicato, tra l’altro, </w:t>
      </w:r>
      <w:r w:rsidRPr="00783F13">
        <w:rPr>
          <w:rFonts w:ascii="Arial" w:hAnsi="Arial" w:cs="Arial"/>
          <w:b/>
          <w:bCs/>
          <w:sz w:val="24"/>
          <w:szCs w:val="24"/>
        </w:rPr>
        <w:t>all’esdebitazione nella liquidazione controllata</w:t>
      </w:r>
      <w:r w:rsidRPr="00783F13">
        <w:rPr>
          <w:rFonts w:ascii="Arial" w:hAnsi="Arial" w:cs="Arial"/>
          <w:sz w:val="24"/>
          <w:szCs w:val="24"/>
        </w:rPr>
        <w:t xml:space="preserve">, cui si aggiunge </w:t>
      </w:r>
      <w:r w:rsidRPr="00783F13">
        <w:rPr>
          <w:rFonts w:ascii="Arial" w:hAnsi="Arial" w:cs="Arial"/>
          <w:b/>
          <w:bCs/>
          <w:sz w:val="24"/>
          <w:szCs w:val="24"/>
        </w:rPr>
        <w:t xml:space="preserve">l’esdebitazione del </w:t>
      </w:r>
      <w:proofErr w:type="spellStart"/>
      <w:r w:rsidRPr="00783F13">
        <w:rPr>
          <w:rFonts w:ascii="Arial" w:hAnsi="Arial" w:cs="Arial"/>
          <w:b/>
          <w:bCs/>
          <w:sz w:val="24"/>
          <w:szCs w:val="24"/>
        </w:rPr>
        <w:t>sovraindebitato</w:t>
      </w:r>
      <w:proofErr w:type="spellEnd"/>
      <w:r w:rsidRPr="00783F13">
        <w:rPr>
          <w:rFonts w:ascii="Arial" w:hAnsi="Arial" w:cs="Arial"/>
          <w:b/>
          <w:bCs/>
          <w:sz w:val="24"/>
          <w:szCs w:val="24"/>
        </w:rPr>
        <w:t xml:space="preserve"> incapiente</w:t>
      </w:r>
      <w:r w:rsidRPr="00783F13">
        <w:rPr>
          <w:rFonts w:ascii="Arial" w:hAnsi="Arial" w:cs="Arial"/>
          <w:sz w:val="24"/>
          <w:szCs w:val="24"/>
        </w:rPr>
        <w:t xml:space="preserve"> (artt. 278 -283).</w:t>
      </w:r>
    </w:p>
    <w:p w14:paraId="43A2FEBF" w14:textId="77777777" w:rsidR="00783F13" w:rsidRPr="00783F13" w:rsidRDefault="00783F13" w:rsidP="00783F13">
      <w:pPr>
        <w:jc w:val="both"/>
        <w:rPr>
          <w:rFonts w:ascii="Arial" w:hAnsi="Arial" w:cs="Arial"/>
          <w:sz w:val="24"/>
          <w:szCs w:val="24"/>
        </w:rPr>
      </w:pPr>
    </w:p>
    <w:p w14:paraId="01725AF2" w14:textId="183C3A1F" w:rsidR="0046470F" w:rsidRPr="00783F13" w:rsidRDefault="0046470F" w:rsidP="00783F13">
      <w:pPr>
        <w:jc w:val="both"/>
        <w:rPr>
          <w:rFonts w:ascii="Arial" w:hAnsi="Arial" w:cs="Arial"/>
          <w:sz w:val="24"/>
          <w:szCs w:val="24"/>
        </w:rPr>
      </w:pPr>
      <w:r w:rsidRPr="00783F13">
        <w:rPr>
          <w:rFonts w:ascii="Arial" w:hAnsi="Arial" w:cs="Arial"/>
          <w:sz w:val="24"/>
          <w:szCs w:val="24"/>
        </w:rPr>
        <w:t xml:space="preserve">Al fine di supportare, anche sotto il profilo </w:t>
      </w:r>
      <w:r w:rsidRPr="00783F13">
        <w:rPr>
          <w:rFonts w:ascii="Arial" w:hAnsi="Arial" w:cs="Arial"/>
          <w:b/>
          <w:bCs/>
          <w:sz w:val="24"/>
          <w:szCs w:val="24"/>
        </w:rPr>
        <w:t>operativo e pratico</w:t>
      </w:r>
      <w:r w:rsidRPr="00783F13">
        <w:rPr>
          <w:rFonts w:ascii="Arial" w:hAnsi="Arial" w:cs="Arial"/>
          <w:sz w:val="24"/>
          <w:szCs w:val="24"/>
        </w:rPr>
        <w:t xml:space="preserve">, l’attività degli OCC, e del gestore della crisi in particolare, il documento propone alcuni </w:t>
      </w:r>
      <w:r w:rsidRPr="00783F13">
        <w:rPr>
          <w:rFonts w:ascii="Arial" w:hAnsi="Arial" w:cs="Arial"/>
          <w:b/>
          <w:bCs/>
          <w:sz w:val="24"/>
          <w:szCs w:val="24"/>
        </w:rPr>
        <w:t>modelli di relazione</w:t>
      </w:r>
      <w:r w:rsidRPr="00783F13">
        <w:rPr>
          <w:rFonts w:ascii="Arial" w:hAnsi="Arial" w:cs="Arial"/>
          <w:sz w:val="24"/>
          <w:szCs w:val="24"/>
        </w:rPr>
        <w:t xml:space="preserve">, redatti tenendo in considerazione le prescrizioni della normativa, nonché la </w:t>
      </w:r>
      <w:r w:rsidRPr="00783F13">
        <w:rPr>
          <w:rFonts w:ascii="Arial" w:hAnsi="Arial" w:cs="Arial"/>
          <w:b/>
          <w:bCs/>
          <w:sz w:val="24"/>
          <w:szCs w:val="24"/>
        </w:rPr>
        <w:t>modulistica</w:t>
      </w:r>
      <w:r w:rsidRPr="00783F13">
        <w:rPr>
          <w:rFonts w:ascii="Arial" w:hAnsi="Arial" w:cs="Arial"/>
          <w:sz w:val="24"/>
          <w:szCs w:val="24"/>
        </w:rPr>
        <w:t xml:space="preserve"> in uso negli OCC, per soddisfare le differenti esigenze organizzative dell’Organismo medesimo.</w:t>
      </w:r>
    </w:p>
    <w:p w14:paraId="1B17A220" w14:textId="77777777" w:rsidR="0046470F" w:rsidRPr="00783F13" w:rsidRDefault="0046470F" w:rsidP="00783F13">
      <w:pPr>
        <w:jc w:val="both"/>
        <w:rPr>
          <w:rFonts w:ascii="Arial" w:hAnsi="Arial" w:cs="Arial"/>
          <w:sz w:val="24"/>
          <w:szCs w:val="24"/>
        </w:rPr>
      </w:pPr>
      <w:r w:rsidRPr="00783F13">
        <w:rPr>
          <w:rFonts w:ascii="Arial" w:hAnsi="Arial" w:cs="Arial"/>
          <w:sz w:val="24"/>
          <w:szCs w:val="24"/>
        </w:rPr>
        <w:t>In particolare, vengono proposti modelli di relazione del gestore della crisi per ciascuna delle procedure sopra richiamate, oltre all’attestazione da rendere ai sensi dell’art. 75, comma 2, d.lgs. 12 gennaio 2019, n. 14, che, con gli opportuni adeguamenti, può essere adottata anche al ricorrere delle ipotesi di cui all’art. 67 comma 4, d.lgs. 12 gennaio 2019, n. 14.</w:t>
      </w:r>
    </w:p>
    <w:p w14:paraId="2B870F73" w14:textId="77777777" w:rsidR="003B7891" w:rsidRPr="00783F13" w:rsidRDefault="003B7891" w:rsidP="00783F13">
      <w:pPr>
        <w:pStyle w:val="xmsonormal0"/>
        <w:shd w:val="clear" w:color="auto" w:fill="FFFFFF"/>
        <w:spacing w:before="0" w:beforeAutospacing="0" w:after="0" w:afterAutospacing="0"/>
        <w:jc w:val="both"/>
        <w:textAlignment w:val="baseline"/>
        <w:rPr>
          <w:rFonts w:ascii="Arial" w:hAnsi="Arial" w:cs="Arial"/>
          <w:b/>
          <w:bCs/>
          <w:color w:val="242424"/>
          <w:bdr w:val="none" w:sz="0" w:space="0" w:color="auto" w:frame="1"/>
        </w:rPr>
      </w:pPr>
    </w:p>
    <w:sectPr w:rsidR="003B7891" w:rsidRPr="00783F1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9982" w14:textId="77777777" w:rsidR="00EB1E80" w:rsidRDefault="00EB1E80" w:rsidP="00220212">
      <w:r>
        <w:separator/>
      </w:r>
    </w:p>
  </w:endnote>
  <w:endnote w:type="continuationSeparator" w:id="0">
    <w:p w14:paraId="3ED72C01" w14:textId="77777777" w:rsidR="00EB1E80" w:rsidRDefault="00EB1E80"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E78D" w14:textId="77777777" w:rsidR="00EB1E80" w:rsidRDefault="00EB1E80" w:rsidP="00220212">
      <w:r>
        <w:separator/>
      </w:r>
    </w:p>
  </w:footnote>
  <w:footnote w:type="continuationSeparator" w:id="0">
    <w:p w14:paraId="33F005BE" w14:textId="77777777" w:rsidR="00EB1E80" w:rsidRDefault="00EB1E80"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82F" w14:textId="3AE2477E" w:rsidR="00220212" w:rsidRDefault="00220212" w:rsidP="00220212">
    <w:pPr>
      <w:pStyle w:val="Intestazione"/>
      <w:jc w:val="center"/>
    </w:pPr>
    <w:r>
      <w:rPr>
        <w:noProof/>
      </w:rPr>
      <w:drawing>
        <wp:inline distT="0" distB="0" distL="0" distR="0" wp14:anchorId="15DD6D97" wp14:editId="6AC1F1E6">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3C29"/>
    <w:multiLevelType w:val="multilevel"/>
    <w:tmpl w:val="4AD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1"/>
  </w:num>
  <w:num w:numId="2" w16cid:durableId="1979190870">
    <w:abstractNumId w:val="1"/>
  </w:num>
  <w:num w:numId="3" w16cid:durableId="124252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10022"/>
    <w:rsid w:val="000479AC"/>
    <w:rsid w:val="0006285E"/>
    <w:rsid w:val="000B6668"/>
    <w:rsid w:val="000C110F"/>
    <w:rsid w:val="000F1D74"/>
    <w:rsid w:val="000F55E6"/>
    <w:rsid w:val="00116D81"/>
    <w:rsid w:val="00143CA7"/>
    <w:rsid w:val="0015226C"/>
    <w:rsid w:val="00165DD0"/>
    <w:rsid w:val="00177C26"/>
    <w:rsid w:val="001E3A81"/>
    <w:rsid w:val="002075E5"/>
    <w:rsid w:val="00216372"/>
    <w:rsid w:val="00216ED1"/>
    <w:rsid w:val="00220212"/>
    <w:rsid w:val="002334E3"/>
    <w:rsid w:val="00253767"/>
    <w:rsid w:val="0026533A"/>
    <w:rsid w:val="00292023"/>
    <w:rsid w:val="00296AF5"/>
    <w:rsid w:val="002A32AA"/>
    <w:rsid w:val="002A7F35"/>
    <w:rsid w:val="002B5F48"/>
    <w:rsid w:val="002F66FC"/>
    <w:rsid w:val="00350105"/>
    <w:rsid w:val="00363C66"/>
    <w:rsid w:val="00387583"/>
    <w:rsid w:val="003B7891"/>
    <w:rsid w:val="003C3F4F"/>
    <w:rsid w:val="003E17D9"/>
    <w:rsid w:val="003E3525"/>
    <w:rsid w:val="003E3FCA"/>
    <w:rsid w:val="00422713"/>
    <w:rsid w:val="00445AEC"/>
    <w:rsid w:val="0045305C"/>
    <w:rsid w:val="00462868"/>
    <w:rsid w:val="0046470F"/>
    <w:rsid w:val="00483158"/>
    <w:rsid w:val="00486C52"/>
    <w:rsid w:val="00497999"/>
    <w:rsid w:val="004B5EE7"/>
    <w:rsid w:val="004C2BCA"/>
    <w:rsid w:val="004D1071"/>
    <w:rsid w:val="004E23E1"/>
    <w:rsid w:val="005004ED"/>
    <w:rsid w:val="00512314"/>
    <w:rsid w:val="00553F32"/>
    <w:rsid w:val="005626A0"/>
    <w:rsid w:val="005663D0"/>
    <w:rsid w:val="00567F20"/>
    <w:rsid w:val="00576DE0"/>
    <w:rsid w:val="0057792D"/>
    <w:rsid w:val="005A4AF3"/>
    <w:rsid w:val="005E533E"/>
    <w:rsid w:val="005F6E31"/>
    <w:rsid w:val="00624D8B"/>
    <w:rsid w:val="00634A0E"/>
    <w:rsid w:val="006350D0"/>
    <w:rsid w:val="006736CC"/>
    <w:rsid w:val="00685B2B"/>
    <w:rsid w:val="00691D93"/>
    <w:rsid w:val="00695F82"/>
    <w:rsid w:val="006C12FD"/>
    <w:rsid w:val="006C3AB0"/>
    <w:rsid w:val="006C3BC3"/>
    <w:rsid w:val="006D7D54"/>
    <w:rsid w:val="00700A3D"/>
    <w:rsid w:val="007045B2"/>
    <w:rsid w:val="00704F82"/>
    <w:rsid w:val="00745DF2"/>
    <w:rsid w:val="00783F13"/>
    <w:rsid w:val="007A7B24"/>
    <w:rsid w:val="007C51A4"/>
    <w:rsid w:val="007C6736"/>
    <w:rsid w:val="007D37AA"/>
    <w:rsid w:val="007F178D"/>
    <w:rsid w:val="007F5BA5"/>
    <w:rsid w:val="00810BBF"/>
    <w:rsid w:val="00814031"/>
    <w:rsid w:val="00816260"/>
    <w:rsid w:val="00874EAE"/>
    <w:rsid w:val="008B0F11"/>
    <w:rsid w:val="0092736C"/>
    <w:rsid w:val="009553F9"/>
    <w:rsid w:val="00956C46"/>
    <w:rsid w:val="009676AB"/>
    <w:rsid w:val="009708C8"/>
    <w:rsid w:val="00980BD2"/>
    <w:rsid w:val="0099080D"/>
    <w:rsid w:val="009C51B5"/>
    <w:rsid w:val="009D00BF"/>
    <w:rsid w:val="009E2D35"/>
    <w:rsid w:val="00A03FC8"/>
    <w:rsid w:val="00A0710B"/>
    <w:rsid w:val="00A24D54"/>
    <w:rsid w:val="00A25D47"/>
    <w:rsid w:val="00A375C3"/>
    <w:rsid w:val="00A402FE"/>
    <w:rsid w:val="00A735FC"/>
    <w:rsid w:val="00A84692"/>
    <w:rsid w:val="00AA55EF"/>
    <w:rsid w:val="00AE075F"/>
    <w:rsid w:val="00AF1374"/>
    <w:rsid w:val="00B02DEF"/>
    <w:rsid w:val="00B50F42"/>
    <w:rsid w:val="00B96F6D"/>
    <w:rsid w:val="00BA4DF9"/>
    <w:rsid w:val="00BC10E3"/>
    <w:rsid w:val="00BC51B8"/>
    <w:rsid w:val="00BD2E30"/>
    <w:rsid w:val="00BD5ADB"/>
    <w:rsid w:val="00BD6325"/>
    <w:rsid w:val="00BD6C57"/>
    <w:rsid w:val="00BE6220"/>
    <w:rsid w:val="00C03826"/>
    <w:rsid w:val="00C139B0"/>
    <w:rsid w:val="00C251E7"/>
    <w:rsid w:val="00C522FE"/>
    <w:rsid w:val="00C524FD"/>
    <w:rsid w:val="00C56DFA"/>
    <w:rsid w:val="00C63A2F"/>
    <w:rsid w:val="00C65D93"/>
    <w:rsid w:val="00C75BC4"/>
    <w:rsid w:val="00C8115B"/>
    <w:rsid w:val="00CA44D8"/>
    <w:rsid w:val="00CC1B6C"/>
    <w:rsid w:val="00CE19E0"/>
    <w:rsid w:val="00CF7779"/>
    <w:rsid w:val="00D06680"/>
    <w:rsid w:val="00D21953"/>
    <w:rsid w:val="00D230EC"/>
    <w:rsid w:val="00DA13DE"/>
    <w:rsid w:val="00DC53DA"/>
    <w:rsid w:val="00DD4EA4"/>
    <w:rsid w:val="00DE7D69"/>
    <w:rsid w:val="00E03186"/>
    <w:rsid w:val="00E069B1"/>
    <w:rsid w:val="00E07E8C"/>
    <w:rsid w:val="00E26B37"/>
    <w:rsid w:val="00E35668"/>
    <w:rsid w:val="00E61584"/>
    <w:rsid w:val="00E65C94"/>
    <w:rsid w:val="00E66DD6"/>
    <w:rsid w:val="00E6752D"/>
    <w:rsid w:val="00E82441"/>
    <w:rsid w:val="00E9030F"/>
    <w:rsid w:val="00E94CBC"/>
    <w:rsid w:val="00EB1E80"/>
    <w:rsid w:val="00EC05A8"/>
    <w:rsid w:val="00EC41A2"/>
    <w:rsid w:val="00ED7676"/>
    <w:rsid w:val="00F12A12"/>
    <w:rsid w:val="00F44B94"/>
    <w:rsid w:val="00F70981"/>
    <w:rsid w:val="00F8194F"/>
    <w:rsid w:val="00F852A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 w:type="paragraph" w:customStyle="1" w:styleId="xmsonormal0">
    <w:name w:val="x_msonormal"/>
    <w:basedOn w:val="Normale"/>
    <w:rsid w:val="009676A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0635">
      <w:bodyDiv w:val="1"/>
      <w:marLeft w:val="0"/>
      <w:marRight w:val="0"/>
      <w:marTop w:val="0"/>
      <w:marBottom w:val="0"/>
      <w:divBdr>
        <w:top w:val="none" w:sz="0" w:space="0" w:color="auto"/>
        <w:left w:val="none" w:sz="0" w:space="0" w:color="auto"/>
        <w:bottom w:val="none" w:sz="0" w:space="0" w:color="auto"/>
        <w:right w:val="none" w:sz="0" w:space="0" w:color="auto"/>
      </w:divBdr>
      <w:divsChild>
        <w:div w:id="503322511">
          <w:marLeft w:val="0"/>
          <w:marRight w:val="0"/>
          <w:marTop w:val="0"/>
          <w:marBottom w:val="0"/>
          <w:divBdr>
            <w:top w:val="none" w:sz="0" w:space="0" w:color="auto"/>
            <w:left w:val="none" w:sz="0" w:space="0" w:color="auto"/>
            <w:bottom w:val="none" w:sz="0" w:space="0" w:color="auto"/>
            <w:right w:val="none" w:sz="0" w:space="0" w:color="auto"/>
          </w:divBdr>
        </w:div>
        <w:div w:id="1158766913">
          <w:marLeft w:val="0"/>
          <w:marRight w:val="0"/>
          <w:marTop w:val="0"/>
          <w:marBottom w:val="0"/>
          <w:divBdr>
            <w:top w:val="none" w:sz="0" w:space="0" w:color="auto"/>
            <w:left w:val="none" w:sz="0" w:space="0" w:color="auto"/>
            <w:bottom w:val="none" w:sz="0" w:space="0" w:color="auto"/>
            <w:right w:val="none" w:sz="0" w:space="0" w:color="auto"/>
          </w:divBdr>
        </w:div>
        <w:div w:id="234053173">
          <w:marLeft w:val="0"/>
          <w:marRight w:val="0"/>
          <w:marTop w:val="0"/>
          <w:marBottom w:val="0"/>
          <w:divBdr>
            <w:top w:val="none" w:sz="0" w:space="0" w:color="auto"/>
            <w:left w:val="none" w:sz="0" w:space="0" w:color="auto"/>
            <w:bottom w:val="none" w:sz="0" w:space="0" w:color="auto"/>
            <w:right w:val="none" w:sz="0" w:space="0" w:color="auto"/>
          </w:divBdr>
        </w:div>
        <w:div w:id="1258563925">
          <w:marLeft w:val="0"/>
          <w:marRight w:val="0"/>
          <w:marTop w:val="0"/>
          <w:marBottom w:val="0"/>
          <w:divBdr>
            <w:top w:val="none" w:sz="0" w:space="0" w:color="auto"/>
            <w:left w:val="none" w:sz="0" w:space="0" w:color="auto"/>
            <w:bottom w:val="none" w:sz="0" w:space="0" w:color="auto"/>
            <w:right w:val="none" w:sz="0" w:space="0" w:color="auto"/>
          </w:divBdr>
        </w:div>
        <w:div w:id="970554527">
          <w:marLeft w:val="0"/>
          <w:marRight w:val="0"/>
          <w:marTop w:val="0"/>
          <w:marBottom w:val="0"/>
          <w:divBdr>
            <w:top w:val="none" w:sz="0" w:space="0" w:color="auto"/>
            <w:left w:val="none" w:sz="0" w:space="0" w:color="auto"/>
            <w:bottom w:val="none" w:sz="0" w:space="0" w:color="auto"/>
            <w:right w:val="none" w:sz="0" w:space="0" w:color="auto"/>
          </w:divBdr>
        </w:div>
        <w:div w:id="402222307">
          <w:marLeft w:val="0"/>
          <w:marRight w:val="0"/>
          <w:marTop w:val="0"/>
          <w:marBottom w:val="0"/>
          <w:divBdr>
            <w:top w:val="none" w:sz="0" w:space="0" w:color="auto"/>
            <w:left w:val="none" w:sz="0" w:space="0" w:color="auto"/>
            <w:bottom w:val="none" w:sz="0" w:space="0" w:color="auto"/>
            <w:right w:val="none" w:sz="0" w:space="0" w:color="auto"/>
          </w:divBdr>
        </w:div>
        <w:div w:id="1667976917">
          <w:marLeft w:val="0"/>
          <w:marRight w:val="0"/>
          <w:marTop w:val="0"/>
          <w:marBottom w:val="0"/>
          <w:divBdr>
            <w:top w:val="none" w:sz="0" w:space="0" w:color="auto"/>
            <w:left w:val="none" w:sz="0" w:space="0" w:color="auto"/>
            <w:bottom w:val="none" w:sz="0" w:space="0" w:color="auto"/>
            <w:right w:val="none" w:sz="0" w:space="0" w:color="auto"/>
          </w:divBdr>
        </w:div>
        <w:div w:id="1688673213">
          <w:marLeft w:val="0"/>
          <w:marRight w:val="0"/>
          <w:marTop w:val="0"/>
          <w:marBottom w:val="0"/>
          <w:divBdr>
            <w:top w:val="none" w:sz="0" w:space="0" w:color="auto"/>
            <w:left w:val="none" w:sz="0" w:space="0" w:color="auto"/>
            <w:bottom w:val="none" w:sz="0" w:space="0" w:color="auto"/>
            <w:right w:val="none" w:sz="0" w:space="0" w:color="auto"/>
          </w:divBdr>
        </w:div>
        <w:div w:id="894436011">
          <w:marLeft w:val="0"/>
          <w:marRight w:val="0"/>
          <w:marTop w:val="0"/>
          <w:marBottom w:val="0"/>
          <w:divBdr>
            <w:top w:val="none" w:sz="0" w:space="0" w:color="auto"/>
            <w:left w:val="none" w:sz="0" w:space="0" w:color="auto"/>
            <w:bottom w:val="none" w:sz="0" w:space="0" w:color="auto"/>
            <w:right w:val="none" w:sz="0" w:space="0" w:color="auto"/>
          </w:divBdr>
        </w:div>
        <w:div w:id="1742749845">
          <w:marLeft w:val="0"/>
          <w:marRight w:val="0"/>
          <w:marTop w:val="0"/>
          <w:marBottom w:val="0"/>
          <w:divBdr>
            <w:top w:val="none" w:sz="0" w:space="0" w:color="auto"/>
            <w:left w:val="none" w:sz="0" w:space="0" w:color="auto"/>
            <w:bottom w:val="none" w:sz="0" w:space="0" w:color="auto"/>
            <w:right w:val="none" w:sz="0" w:space="0" w:color="auto"/>
          </w:divBdr>
        </w:div>
        <w:div w:id="1122648849">
          <w:marLeft w:val="0"/>
          <w:marRight w:val="0"/>
          <w:marTop w:val="0"/>
          <w:marBottom w:val="0"/>
          <w:divBdr>
            <w:top w:val="none" w:sz="0" w:space="0" w:color="auto"/>
            <w:left w:val="none" w:sz="0" w:space="0" w:color="auto"/>
            <w:bottom w:val="none" w:sz="0" w:space="0" w:color="auto"/>
            <w:right w:val="none" w:sz="0" w:space="0" w:color="auto"/>
          </w:divBdr>
          <w:divsChild>
            <w:div w:id="581915195">
              <w:marLeft w:val="0"/>
              <w:marRight w:val="0"/>
              <w:marTop w:val="0"/>
              <w:marBottom w:val="0"/>
              <w:divBdr>
                <w:top w:val="none" w:sz="0" w:space="0" w:color="auto"/>
                <w:left w:val="none" w:sz="0" w:space="0" w:color="auto"/>
                <w:bottom w:val="none" w:sz="0" w:space="0" w:color="auto"/>
                <w:right w:val="none" w:sz="0" w:space="0" w:color="auto"/>
              </w:divBdr>
            </w:div>
            <w:div w:id="1486047282">
              <w:marLeft w:val="0"/>
              <w:marRight w:val="0"/>
              <w:marTop w:val="0"/>
              <w:marBottom w:val="0"/>
              <w:divBdr>
                <w:top w:val="none" w:sz="0" w:space="0" w:color="auto"/>
                <w:left w:val="none" w:sz="0" w:space="0" w:color="auto"/>
                <w:bottom w:val="none" w:sz="0" w:space="0" w:color="auto"/>
                <w:right w:val="none" w:sz="0" w:space="0" w:color="auto"/>
              </w:divBdr>
              <w:divsChild>
                <w:div w:id="1449085547">
                  <w:marLeft w:val="0"/>
                  <w:marRight w:val="0"/>
                  <w:marTop w:val="0"/>
                  <w:marBottom w:val="0"/>
                  <w:divBdr>
                    <w:top w:val="none" w:sz="0" w:space="0" w:color="auto"/>
                    <w:left w:val="none" w:sz="0" w:space="0" w:color="auto"/>
                    <w:bottom w:val="none" w:sz="0" w:space="0" w:color="auto"/>
                    <w:right w:val="none" w:sz="0" w:space="0" w:color="auto"/>
                  </w:divBdr>
                  <w:divsChild>
                    <w:div w:id="1474564042">
                      <w:marLeft w:val="0"/>
                      <w:marRight w:val="0"/>
                      <w:marTop w:val="0"/>
                      <w:marBottom w:val="0"/>
                      <w:divBdr>
                        <w:top w:val="none" w:sz="0" w:space="0" w:color="auto"/>
                        <w:left w:val="none" w:sz="0" w:space="0" w:color="auto"/>
                        <w:bottom w:val="none" w:sz="0" w:space="0" w:color="auto"/>
                        <w:right w:val="none" w:sz="0" w:space="0" w:color="auto"/>
                      </w:divBdr>
                      <w:divsChild>
                        <w:div w:id="1375153471">
                          <w:marLeft w:val="0"/>
                          <w:marRight w:val="0"/>
                          <w:marTop w:val="0"/>
                          <w:marBottom w:val="0"/>
                          <w:divBdr>
                            <w:top w:val="none" w:sz="0" w:space="0" w:color="auto"/>
                            <w:left w:val="none" w:sz="0" w:space="0" w:color="auto"/>
                            <w:bottom w:val="none" w:sz="0" w:space="0" w:color="auto"/>
                            <w:right w:val="none" w:sz="0" w:space="0" w:color="auto"/>
                          </w:divBdr>
                          <w:divsChild>
                            <w:div w:id="1947419615">
                              <w:marLeft w:val="0"/>
                              <w:marRight w:val="0"/>
                              <w:marTop w:val="0"/>
                              <w:marBottom w:val="0"/>
                              <w:divBdr>
                                <w:top w:val="none" w:sz="0" w:space="0" w:color="auto"/>
                                <w:left w:val="none" w:sz="0" w:space="0" w:color="auto"/>
                                <w:bottom w:val="none" w:sz="0" w:space="0" w:color="auto"/>
                                <w:right w:val="none" w:sz="0" w:space="0" w:color="auto"/>
                              </w:divBdr>
                              <w:divsChild>
                                <w:div w:id="455299976">
                                  <w:marLeft w:val="0"/>
                                  <w:marRight w:val="0"/>
                                  <w:marTop w:val="0"/>
                                  <w:marBottom w:val="0"/>
                                  <w:divBdr>
                                    <w:top w:val="none" w:sz="0" w:space="0" w:color="auto"/>
                                    <w:left w:val="none" w:sz="0" w:space="0" w:color="auto"/>
                                    <w:bottom w:val="none" w:sz="0" w:space="0" w:color="auto"/>
                                    <w:right w:val="none" w:sz="0" w:space="0" w:color="auto"/>
                                  </w:divBdr>
                                  <w:divsChild>
                                    <w:div w:id="1317147099">
                                      <w:marLeft w:val="0"/>
                                      <w:marRight w:val="0"/>
                                      <w:marTop w:val="0"/>
                                      <w:marBottom w:val="0"/>
                                      <w:divBdr>
                                        <w:top w:val="none" w:sz="0" w:space="0" w:color="auto"/>
                                        <w:left w:val="none" w:sz="0" w:space="0" w:color="auto"/>
                                        <w:bottom w:val="none" w:sz="0" w:space="0" w:color="auto"/>
                                        <w:right w:val="none" w:sz="0" w:space="0" w:color="auto"/>
                                      </w:divBdr>
                                    </w:div>
                                    <w:div w:id="384455098">
                                      <w:marLeft w:val="0"/>
                                      <w:marRight w:val="0"/>
                                      <w:marTop w:val="0"/>
                                      <w:marBottom w:val="0"/>
                                      <w:divBdr>
                                        <w:top w:val="none" w:sz="0" w:space="0" w:color="auto"/>
                                        <w:left w:val="none" w:sz="0" w:space="0" w:color="auto"/>
                                        <w:bottom w:val="none" w:sz="0" w:space="0" w:color="auto"/>
                                        <w:right w:val="none" w:sz="0" w:space="0" w:color="auto"/>
                                      </w:divBdr>
                                    </w:div>
                                    <w:div w:id="1908883284">
                                      <w:marLeft w:val="0"/>
                                      <w:marRight w:val="0"/>
                                      <w:marTop w:val="0"/>
                                      <w:marBottom w:val="0"/>
                                      <w:divBdr>
                                        <w:top w:val="none" w:sz="0" w:space="0" w:color="auto"/>
                                        <w:left w:val="none" w:sz="0" w:space="0" w:color="auto"/>
                                        <w:bottom w:val="none" w:sz="0" w:space="0" w:color="auto"/>
                                        <w:right w:val="none" w:sz="0" w:space="0" w:color="auto"/>
                                      </w:divBdr>
                                    </w:div>
                                  </w:divsChild>
                                </w:div>
                                <w:div w:id="9582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7719">
                  <w:marLeft w:val="0"/>
                  <w:marRight w:val="0"/>
                  <w:marTop w:val="0"/>
                  <w:marBottom w:val="0"/>
                  <w:divBdr>
                    <w:top w:val="none" w:sz="0" w:space="0" w:color="auto"/>
                    <w:left w:val="none" w:sz="0" w:space="0" w:color="auto"/>
                    <w:bottom w:val="none" w:sz="0" w:space="0" w:color="auto"/>
                    <w:right w:val="none" w:sz="0" w:space="0" w:color="auto"/>
                  </w:divBdr>
                  <w:divsChild>
                    <w:div w:id="715662188">
                      <w:marLeft w:val="0"/>
                      <w:marRight w:val="0"/>
                      <w:marTop w:val="0"/>
                      <w:marBottom w:val="0"/>
                      <w:divBdr>
                        <w:top w:val="none" w:sz="0" w:space="0" w:color="auto"/>
                        <w:left w:val="none" w:sz="0" w:space="0" w:color="auto"/>
                        <w:bottom w:val="none" w:sz="0" w:space="0" w:color="auto"/>
                        <w:right w:val="none" w:sz="0" w:space="0" w:color="auto"/>
                      </w:divBdr>
                      <w:divsChild>
                        <w:div w:id="2109308182">
                          <w:marLeft w:val="0"/>
                          <w:marRight w:val="0"/>
                          <w:marTop w:val="0"/>
                          <w:marBottom w:val="0"/>
                          <w:divBdr>
                            <w:top w:val="none" w:sz="0" w:space="0" w:color="auto"/>
                            <w:left w:val="none" w:sz="0" w:space="0" w:color="auto"/>
                            <w:bottom w:val="none" w:sz="0" w:space="0" w:color="auto"/>
                            <w:right w:val="none" w:sz="0" w:space="0" w:color="auto"/>
                          </w:divBdr>
                        </w:div>
                        <w:div w:id="1893302213">
                          <w:marLeft w:val="0"/>
                          <w:marRight w:val="0"/>
                          <w:marTop w:val="0"/>
                          <w:marBottom w:val="0"/>
                          <w:divBdr>
                            <w:top w:val="none" w:sz="0" w:space="0" w:color="auto"/>
                            <w:left w:val="none" w:sz="0" w:space="0" w:color="auto"/>
                            <w:bottom w:val="none" w:sz="0" w:space="0" w:color="auto"/>
                            <w:right w:val="none" w:sz="0" w:space="0" w:color="auto"/>
                          </w:divBdr>
                        </w:div>
                        <w:div w:id="1488324281">
                          <w:marLeft w:val="0"/>
                          <w:marRight w:val="0"/>
                          <w:marTop w:val="0"/>
                          <w:marBottom w:val="0"/>
                          <w:divBdr>
                            <w:top w:val="none" w:sz="0" w:space="0" w:color="auto"/>
                            <w:left w:val="none" w:sz="0" w:space="0" w:color="auto"/>
                            <w:bottom w:val="none" w:sz="0" w:space="0" w:color="auto"/>
                            <w:right w:val="none" w:sz="0" w:space="0" w:color="auto"/>
                          </w:divBdr>
                        </w:div>
                        <w:div w:id="1663386147">
                          <w:marLeft w:val="0"/>
                          <w:marRight w:val="0"/>
                          <w:marTop w:val="0"/>
                          <w:marBottom w:val="0"/>
                          <w:divBdr>
                            <w:top w:val="none" w:sz="0" w:space="0" w:color="auto"/>
                            <w:left w:val="none" w:sz="0" w:space="0" w:color="auto"/>
                            <w:bottom w:val="none" w:sz="0" w:space="0" w:color="auto"/>
                            <w:right w:val="none" w:sz="0" w:space="0" w:color="auto"/>
                          </w:divBdr>
                        </w:div>
                        <w:div w:id="1174878423">
                          <w:marLeft w:val="0"/>
                          <w:marRight w:val="0"/>
                          <w:marTop w:val="0"/>
                          <w:marBottom w:val="0"/>
                          <w:divBdr>
                            <w:top w:val="none" w:sz="0" w:space="0" w:color="auto"/>
                            <w:left w:val="none" w:sz="0" w:space="0" w:color="auto"/>
                            <w:bottom w:val="none" w:sz="0" w:space="0" w:color="auto"/>
                            <w:right w:val="none" w:sz="0" w:space="0" w:color="auto"/>
                          </w:divBdr>
                        </w:div>
                        <w:div w:id="5838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837921100">
      <w:bodyDiv w:val="1"/>
      <w:marLeft w:val="0"/>
      <w:marRight w:val="0"/>
      <w:marTop w:val="0"/>
      <w:marBottom w:val="0"/>
      <w:divBdr>
        <w:top w:val="none" w:sz="0" w:space="0" w:color="auto"/>
        <w:left w:val="none" w:sz="0" w:space="0" w:color="auto"/>
        <w:bottom w:val="none" w:sz="0" w:space="0" w:color="auto"/>
        <w:right w:val="none" w:sz="0" w:space="0" w:color="auto"/>
      </w:divBdr>
      <w:divsChild>
        <w:div w:id="602228226">
          <w:marLeft w:val="0"/>
          <w:marRight w:val="0"/>
          <w:marTop w:val="0"/>
          <w:marBottom w:val="0"/>
          <w:divBdr>
            <w:top w:val="none" w:sz="0" w:space="0" w:color="auto"/>
            <w:left w:val="none" w:sz="0" w:space="0" w:color="auto"/>
            <w:bottom w:val="none" w:sz="0" w:space="0" w:color="auto"/>
            <w:right w:val="none" w:sz="0" w:space="0" w:color="auto"/>
          </w:divBdr>
          <w:divsChild>
            <w:div w:id="617447177">
              <w:marLeft w:val="0"/>
              <w:marRight w:val="0"/>
              <w:marTop w:val="0"/>
              <w:marBottom w:val="0"/>
              <w:divBdr>
                <w:top w:val="none" w:sz="0" w:space="0" w:color="auto"/>
                <w:left w:val="none" w:sz="0" w:space="0" w:color="auto"/>
                <w:bottom w:val="none" w:sz="0" w:space="0" w:color="auto"/>
                <w:right w:val="none" w:sz="0" w:space="0" w:color="auto"/>
              </w:divBdr>
              <w:divsChild>
                <w:div w:id="109521443">
                  <w:marLeft w:val="0"/>
                  <w:marRight w:val="0"/>
                  <w:marTop w:val="0"/>
                  <w:marBottom w:val="0"/>
                  <w:divBdr>
                    <w:top w:val="none" w:sz="0" w:space="0" w:color="auto"/>
                    <w:left w:val="none" w:sz="0" w:space="0" w:color="auto"/>
                    <w:bottom w:val="none" w:sz="0" w:space="0" w:color="auto"/>
                    <w:right w:val="none" w:sz="0" w:space="0" w:color="auto"/>
                  </w:divBdr>
                  <w:divsChild>
                    <w:div w:id="1261791606">
                      <w:marLeft w:val="0"/>
                      <w:marRight w:val="0"/>
                      <w:marTop w:val="0"/>
                      <w:marBottom w:val="0"/>
                      <w:divBdr>
                        <w:top w:val="none" w:sz="0" w:space="0" w:color="auto"/>
                        <w:left w:val="none" w:sz="0" w:space="0" w:color="auto"/>
                        <w:bottom w:val="none" w:sz="0" w:space="0" w:color="auto"/>
                        <w:right w:val="none" w:sz="0" w:space="0" w:color="auto"/>
                      </w:divBdr>
                      <w:divsChild>
                        <w:div w:id="1502888022">
                          <w:marLeft w:val="0"/>
                          <w:marRight w:val="0"/>
                          <w:marTop w:val="0"/>
                          <w:marBottom w:val="0"/>
                          <w:divBdr>
                            <w:top w:val="none" w:sz="0" w:space="0" w:color="auto"/>
                            <w:left w:val="none" w:sz="0" w:space="0" w:color="auto"/>
                            <w:bottom w:val="none" w:sz="0" w:space="0" w:color="auto"/>
                            <w:right w:val="none" w:sz="0" w:space="0" w:color="auto"/>
                          </w:divBdr>
                          <w:divsChild>
                            <w:div w:id="13252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424</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3</cp:revision>
  <dcterms:created xsi:type="dcterms:W3CDTF">2024-03-05T15:09:00Z</dcterms:created>
  <dcterms:modified xsi:type="dcterms:W3CDTF">2024-03-08T11:51:00Z</dcterms:modified>
</cp:coreProperties>
</file>