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D703" w14:textId="4C2A935D" w:rsidR="00023486" w:rsidRPr="00643B08" w:rsidRDefault="00023486" w:rsidP="00E705B5">
      <w:pPr>
        <w:rPr>
          <w:rFonts w:ascii="Arial" w:hAnsi="Arial" w:cs="Arial"/>
          <w:sz w:val="24"/>
          <w:szCs w:val="24"/>
        </w:rPr>
      </w:pPr>
    </w:p>
    <w:p w14:paraId="564E4825" w14:textId="77777777" w:rsidR="00023486" w:rsidRPr="008112D7" w:rsidRDefault="00023486" w:rsidP="00E705B5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  <w:r w:rsidRPr="008112D7"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  <w:t>Comunicato stampa</w:t>
      </w:r>
    </w:p>
    <w:p w14:paraId="14329FF1" w14:textId="77777777" w:rsidR="00023486" w:rsidRPr="002F60AC" w:rsidRDefault="00023486" w:rsidP="00E705B5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</w:p>
    <w:p w14:paraId="5960F3DA" w14:textId="61716753" w:rsidR="002F60AC" w:rsidRDefault="002F60AC" w:rsidP="00E705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60AC">
        <w:rPr>
          <w:rFonts w:ascii="Arial" w:hAnsi="Arial" w:cs="Arial"/>
          <w:b/>
          <w:bCs/>
          <w:sz w:val="24"/>
          <w:szCs w:val="24"/>
        </w:rPr>
        <w:t xml:space="preserve">PNRR: </w:t>
      </w:r>
      <w:r w:rsidR="0030587E">
        <w:rPr>
          <w:rFonts w:ascii="Arial" w:hAnsi="Arial" w:cs="Arial"/>
          <w:b/>
          <w:bCs/>
          <w:sz w:val="24"/>
          <w:szCs w:val="24"/>
        </w:rPr>
        <w:t xml:space="preserve">DAI </w:t>
      </w:r>
      <w:r w:rsidRPr="002F60AC">
        <w:rPr>
          <w:rFonts w:ascii="Arial" w:hAnsi="Arial" w:cs="Arial"/>
          <w:b/>
          <w:bCs/>
          <w:sz w:val="24"/>
          <w:szCs w:val="24"/>
        </w:rPr>
        <w:t>COMMERCIALISTI PROPOSTE SU CRISI D’IMPRESA E GIUSTIZIA TRIBUTARIA</w:t>
      </w:r>
    </w:p>
    <w:p w14:paraId="2D2725FF" w14:textId="77777777" w:rsidR="002F60AC" w:rsidRPr="002F60AC" w:rsidRDefault="002F60AC" w:rsidP="00E705B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4336B3" w14:textId="58A156F5" w:rsidR="002F60AC" w:rsidRPr="00C04F5C" w:rsidRDefault="002F60AC" w:rsidP="00E705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4F5C">
        <w:rPr>
          <w:rFonts w:ascii="Arial" w:hAnsi="Arial" w:cs="Arial"/>
          <w:b/>
          <w:bCs/>
          <w:sz w:val="24"/>
          <w:szCs w:val="24"/>
        </w:rPr>
        <w:t xml:space="preserve">Il Consiglio nazionale </w:t>
      </w:r>
      <w:r w:rsidR="005C3B2F">
        <w:rPr>
          <w:rFonts w:ascii="Arial" w:hAnsi="Arial" w:cs="Arial"/>
          <w:b/>
          <w:bCs/>
          <w:sz w:val="24"/>
          <w:szCs w:val="24"/>
        </w:rPr>
        <w:t xml:space="preserve">della categoria </w:t>
      </w:r>
      <w:r w:rsidRPr="00C04F5C">
        <w:rPr>
          <w:rFonts w:ascii="Arial" w:hAnsi="Arial" w:cs="Arial"/>
          <w:b/>
          <w:bCs/>
          <w:sz w:val="24"/>
          <w:szCs w:val="24"/>
        </w:rPr>
        <w:t>in audizione al Senato: “</w:t>
      </w:r>
      <w:r w:rsidR="00B01218" w:rsidRPr="00C04F5C">
        <w:rPr>
          <w:rFonts w:ascii="Arial" w:hAnsi="Arial" w:cs="Arial"/>
          <w:b/>
          <w:bCs/>
          <w:sz w:val="24"/>
          <w:szCs w:val="24"/>
        </w:rPr>
        <w:t>Incentivare l’accesso delle imprese alla composizione negoziata</w:t>
      </w:r>
      <w:r w:rsidR="00C04F5C" w:rsidRPr="00C04F5C">
        <w:rPr>
          <w:rFonts w:ascii="Arial" w:hAnsi="Arial" w:cs="Arial"/>
          <w:b/>
          <w:bCs/>
          <w:sz w:val="24"/>
          <w:szCs w:val="24"/>
        </w:rPr>
        <w:t xml:space="preserve"> e difendere il valore della collegialità degli organi di giustizia tributaria</w:t>
      </w:r>
      <w:r w:rsidR="00B01218" w:rsidRPr="00C04F5C">
        <w:rPr>
          <w:rFonts w:ascii="Arial" w:hAnsi="Arial" w:cs="Arial"/>
          <w:b/>
          <w:bCs/>
          <w:sz w:val="24"/>
          <w:szCs w:val="24"/>
        </w:rPr>
        <w:t>”</w:t>
      </w:r>
    </w:p>
    <w:p w14:paraId="49684C1D" w14:textId="77777777" w:rsidR="002F60AC" w:rsidRPr="00CE29B8" w:rsidRDefault="002F60AC" w:rsidP="00E705B5">
      <w:pPr>
        <w:jc w:val="both"/>
        <w:rPr>
          <w:rFonts w:ascii="Arial" w:hAnsi="Arial" w:cs="Arial"/>
          <w:sz w:val="23"/>
          <w:szCs w:val="23"/>
        </w:rPr>
      </w:pPr>
    </w:p>
    <w:p w14:paraId="6BE645E5" w14:textId="525FCD2F" w:rsidR="00B01218" w:rsidRDefault="002F60AC" w:rsidP="00E705B5">
      <w:pPr>
        <w:jc w:val="both"/>
        <w:rPr>
          <w:rFonts w:ascii="Arial" w:hAnsi="Arial" w:cs="Arial"/>
          <w:sz w:val="23"/>
          <w:szCs w:val="23"/>
        </w:rPr>
      </w:pPr>
      <w:r w:rsidRPr="00A23A10">
        <w:rPr>
          <w:rFonts w:ascii="Arial" w:hAnsi="Arial" w:cs="Arial"/>
          <w:i/>
          <w:iCs/>
          <w:sz w:val="23"/>
          <w:szCs w:val="23"/>
        </w:rPr>
        <w:t>Roma, 6 marzo 2023</w:t>
      </w:r>
      <w:r w:rsidRPr="00CE29B8">
        <w:rPr>
          <w:rFonts w:ascii="Arial" w:hAnsi="Arial" w:cs="Arial"/>
          <w:sz w:val="23"/>
          <w:szCs w:val="23"/>
        </w:rPr>
        <w:t xml:space="preserve"> </w:t>
      </w:r>
      <w:r w:rsidR="00B01218" w:rsidRPr="00CE29B8">
        <w:rPr>
          <w:rFonts w:ascii="Arial" w:hAnsi="Arial" w:cs="Arial"/>
          <w:sz w:val="23"/>
          <w:szCs w:val="23"/>
        </w:rPr>
        <w:t>–</w:t>
      </w:r>
      <w:r w:rsidRPr="00CE29B8">
        <w:rPr>
          <w:rFonts w:ascii="Arial" w:hAnsi="Arial" w:cs="Arial"/>
          <w:sz w:val="23"/>
          <w:szCs w:val="23"/>
        </w:rPr>
        <w:t xml:space="preserve"> </w:t>
      </w:r>
      <w:r w:rsidR="00B01218" w:rsidRPr="00CE29B8">
        <w:rPr>
          <w:rFonts w:ascii="Arial" w:hAnsi="Arial" w:cs="Arial"/>
          <w:b/>
          <w:bCs/>
          <w:sz w:val="23"/>
          <w:szCs w:val="23"/>
        </w:rPr>
        <w:t>Crisi d’impresa</w:t>
      </w:r>
      <w:r w:rsidR="00B01218" w:rsidRPr="00CE29B8">
        <w:rPr>
          <w:rFonts w:ascii="Arial" w:hAnsi="Arial" w:cs="Arial"/>
          <w:sz w:val="23"/>
          <w:szCs w:val="23"/>
        </w:rPr>
        <w:t xml:space="preserve"> e </w:t>
      </w:r>
      <w:r w:rsidR="00B01218" w:rsidRPr="00CE29B8">
        <w:rPr>
          <w:rFonts w:ascii="Arial" w:hAnsi="Arial" w:cs="Arial"/>
          <w:b/>
          <w:bCs/>
          <w:sz w:val="23"/>
          <w:szCs w:val="23"/>
        </w:rPr>
        <w:t>giustizia tributaria</w:t>
      </w:r>
      <w:r w:rsidR="00B01218" w:rsidRPr="00CE29B8">
        <w:rPr>
          <w:rFonts w:ascii="Arial" w:hAnsi="Arial" w:cs="Arial"/>
          <w:sz w:val="23"/>
          <w:szCs w:val="23"/>
        </w:rPr>
        <w:t xml:space="preserve">. Sono le due disposizioni del disegno di legge di attuazione del </w:t>
      </w:r>
      <w:r w:rsidR="00B01218" w:rsidRPr="00CE29B8">
        <w:rPr>
          <w:rFonts w:ascii="Arial" w:hAnsi="Arial" w:cs="Arial"/>
          <w:b/>
          <w:bCs/>
          <w:sz w:val="23"/>
          <w:szCs w:val="23"/>
        </w:rPr>
        <w:t xml:space="preserve">Pnrr </w:t>
      </w:r>
      <w:r w:rsidR="00B01218" w:rsidRPr="00CE29B8">
        <w:rPr>
          <w:rFonts w:ascii="Arial" w:hAnsi="Arial" w:cs="Arial"/>
          <w:sz w:val="23"/>
          <w:szCs w:val="23"/>
        </w:rPr>
        <w:t xml:space="preserve">sulle quali si è concentrato il Consiglio nazionale dei commercialisti nel corso dell’audizione tenutasi </w:t>
      </w:r>
      <w:r w:rsidR="000464E3" w:rsidRPr="00CE29B8">
        <w:rPr>
          <w:rFonts w:ascii="Arial" w:hAnsi="Arial" w:cs="Arial"/>
          <w:sz w:val="23"/>
          <w:szCs w:val="23"/>
        </w:rPr>
        <w:t xml:space="preserve">oggi </w:t>
      </w:r>
      <w:r w:rsidR="00B01218" w:rsidRPr="00CE29B8">
        <w:rPr>
          <w:rFonts w:ascii="Arial" w:hAnsi="Arial" w:cs="Arial"/>
          <w:sz w:val="23"/>
          <w:szCs w:val="23"/>
        </w:rPr>
        <w:t xml:space="preserve">presso la Commissione </w:t>
      </w:r>
      <w:r w:rsidR="001F01FA" w:rsidRPr="00CE29B8">
        <w:rPr>
          <w:rFonts w:ascii="Arial" w:hAnsi="Arial" w:cs="Arial"/>
          <w:sz w:val="23"/>
          <w:szCs w:val="23"/>
        </w:rPr>
        <w:t>B</w:t>
      </w:r>
      <w:r w:rsidR="00B01218" w:rsidRPr="00CE29B8">
        <w:rPr>
          <w:rFonts w:ascii="Arial" w:hAnsi="Arial" w:cs="Arial"/>
          <w:sz w:val="23"/>
          <w:szCs w:val="23"/>
        </w:rPr>
        <w:t>ilancio del Senato</w:t>
      </w:r>
      <w:r w:rsidR="005C3B2F">
        <w:rPr>
          <w:rFonts w:ascii="Arial" w:hAnsi="Arial" w:cs="Arial"/>
          <w:sz w:val="23"/>
          <w:szCs w:val="23"/>
        </w:rPr>
        <w:t>, durante la quale i professionisti hanno anche</w:t>
      </w:r>
      <w:r w:rsidR="001F01FA" w:rsidRPr="00CE29B8">
        <w:rPr>
          <w:rFonts w:ascii="Arial" w:hAnsi="Arial" w:cs="Arial"/>
          <w:sz w:val="23"/>
          <w:szCs w:val="23"/>
        </w:rPr>
        <w:t xml:space="preserve"> presentato un documento con proposte emendative.</w:t>
      </w:r>
    </w:p>
    <w:p w14:paraId="6547E260" w14:textId="77777777" w:rsidR="00E705B5" w:rsidRPr="00CE29B8" w:rsidRDefault="00E705B5" w:rsidP="00E705B5">
      <w:pPr>
        <w:jc w:val="both"/>
        <w:rPr>
          <w:rFonts w:ascii="Arial" w:hAnsi="Arial" w:cs="Arial"/>
          <w:sz w:val="23"/>
          <w:szCs w:val="23"/>
        </w:rPr>
      </w:pPr>
    </w:p>
    <w:p w14:paraId="366F9FC7" w14:textId="1EC95553" w:rsidR="00B01218" w:rsidRPr="00CE29B8" w:rsidRDefault="001F01FA" w:rsidP="00E705B5">
      <w:pPr>
        <w:jc w:val="both"/>
        <w:rPr>
          <w:rFonts w:ascii="Arial" w:hAnsi="Arial" w:cs="Arial"/>
          <w:sz w:val="23"/>
          <w:szCs w:val="23"/>
        </w:rPr>
      </w:pPr>
      <w:r w:rsidRPr="00CE29B8">
        <w:rPr>
          <w:rFonts w:ascii="Arial" w:hAnsi="Arial" w:cs="Arial"/>
          <w:sz w:val="23"/>
          <w:szCs w:val="23"/>
        </w:rPr>
        <w:t xml:space="preserve">Sulla </w:t>
      </w:r>
      <w:r w:rsidRPr="00CE29B8">
        <w:rPr>
          <w:rFonts w:ascii="Arial" w:hAnsi="Arial" w:cs="Arial"/>
          <w:b/>
          <w:bCs/>
          <w:sz w:val="23"/>
          <w:szCs w:val="23"/>
        </w:rPr>
        <w:t>crisi d’impresa</w:t>
      </w:r>
      <w:r w:rsidR="005C3B2F">
        <w:rPr>
          <w:rFonts w:ascii="Arial" w:hAnsi="Arial" w:cs="Arial"/>
          <w:sz w:val="23"/>
          <w:szCs w:val="23"/>
        </w:rPr>
        <w:t xml:space="preserve"> </w:t>
      </w:r>
      <w:r w:rsidRPr="00CE29B8">
        <w:rPr>
          <w:rFonts w:ascii="Arial" w:hAnsi="Arial" w:cs="Arial"/>
          <w:sz w:val="23"/>
          <w:szCs w:val="23"/>
        </w:rPr>
        <w:t xml:space="preserve">la proposta </w:t>
      </w:r>
      <w:r w:rsidR="005C3B2F">
        <w:rPr>
          <w:rFonts w:ascii="Arial" w:hAnsi="Arial" w:cs="Arial"/>
          <w:sz w:val="23"/>
          <w:szCs w:val="23"/>
        </w:rPr>
        <w:t>della categoria “</w:t>
      </w:r>
      <w:r w:rsidRPr="00CE29B8">
        <w:rPr>
          <w:rFonts w:ascii="Arial" w:hAnsi="Arial" w:cs="Arial"/>
          <w:sz w:val="23"/>
          <w:szCs w:val="23"/>
        </w:rPr>
        <w:t xml:space="preserve">punta a rafforzare </w:t>
      </w:r>
      <w:r w:rsidR="00B01218" w:rsidRPr="00CE29B8">
        <w:rPr>
          <w:rFonts w:ascii="Arial" w:hAnsi="Arial" w:cs="Arial"/>
          <w:sz w:val="23"/>
          <w:szCs w:val="23"/>
        </w:rPr>
        <w:t xml:space="preserve">le misure volte ad </w:t>
      </w:r>
      <w:r w:rsidR="00B01218" w:rsidRPr="00CE29B8">
        <w:rPr>
          <w:rFonts w:ascii="Arial" w:hAnsi="Arial" w:cs="Arial"/>
          <w:b/>
          <w:bCs/>
          <w:sz w:val="23"/>
          <w:szCs w:val="23"/>
        </w:rPr>
        <w:t>incentivare l’accesso delle imprese alla composizione negoziata</w:t>
      </w:r>
      <w:r w:rsidRPr="00CE29B8">
        <w:rPr>
          <w:rFonts w:ascii="Arial" w:hAnsi="Arial" w:cs="Arial"/>
          <w:sz w:val="23"/>
          <w:szCs w:val="23"/>
        </w:rPr>
        <w:t>, alla</w:t>
      </w:r>
      <w:r w:rsidR="00B01218" w:rsidRPr="00CE29B8">
        <w:rPr>
          <w:rFonts w:ascii="Arial" w:hAnsi="Arial" w:cs="Arial"/>
          <w:sz w:val="23"/>
          <w:szCs w:val="23"/>
        </w:rPr>
        <w:t xml:space="preserve"> luce delle principali </w:t>
      </w:r>
      <w:r w:rsidR="00B01218" w:rsidRPr="00CE29B8">
        <w:rPr>
          <w:rFonts w:ascii="Arial" w:hAnsi="Arial" w:cs="Arial"/>
          <w:b/>
          <w:bCs/>
          <w:sz w:val="23"/>
          <w:szCs w:val="23"/>
        </w:rPr>
        <w:t>difficoltà</w:t>
      </w:r>
      <w:r w:rsidR="00B01218" w:rsidRPr="00CE29B8">
        <w:rPr>
          <w:rFonts w:ascii="Arial" w:hAnsi="Arial" w:cs="Arial"/>
          <w:sz w:val="23"/>
          <w:szCs w:val="23"/>
        </w:rPr>
        <w:t xml:space="preserve"> segnalate dagli operatori nei primi mesi di operatività del </w:t>
      </w:r>
      <w:r w:rsidR="00B01218" w:rsidRPr="00CE29B8">
        <w:rPr>
          <w:rFonts w:ascii="Arial" w:hAnsi="Arial" w:cs="Arial"/>
          <w:b/>
          <w:bCs/>
          <w:sz w:val="23"/>
          <w:szCs w:val="23"/>
        </w:rPr>
        <w:t>nuovo istituto</w:t>
      </w:r>
      <w:r w:rsidR="00B01218" w:rsidRPr="00CE29B8">
        <w:rPr>
          <w:rFonts w:ascii="Arial" w:hAnsi="Arial" w:cs="Arial"/>
          <w:sz w:val="23"/>
          <w:szCs w:val="23"/>
        </w:rPr>
        <w:t xml:space="preserve">, quali quelle legate alla </w:t>
      </w:r>
      <w:r w:rsidR="00B01218" w:rsidRPr="00CE29B8">
        <w:rPr>
          <w:rFonts w:ascii="Arial" w:hAnsi="Arial" w:cs="Arial"/>
          <w:b/>
          <w:bCs/>
          <w:sz w:val="23"/>
          <w:szCs w:val="23"/>
        </w:rPr>
        <w:t>gestione del debito verso l’erario o gli enti pubblici</w:t>
      </w:r>
      <w:r w:rsidR="00B01218" w:rsidRPr="00CE29B8">
        <w:rPr>
          <w:rFonts w:ascii="Arial" w:hAnsi="Arial" w:cs="Arial"/>
          <w:sz w:val="23"/>
          <w:szCs w:val="23"/>
        </w:rPr>
        <w:t xml:space="preserve"> – che molto spesso rappresenta la voce debitoria più rilevante e, quindi, il maggiore ostacolo al risanamento dell’impresa in difficoltà – e della opportunità della previsione di </w:t>
      </w:r>
      <w:r w:rsidR="00B01218" w:rsidRPr="00CE29B8">
        <w:rPr>
          <w:rFonts w:ascii="Arial" w:hAnsi="Arial" w:cs="Arial"/>
          <w:b/>
          <w:bCs/>
          <w:sz w:val="23"/>
          <w:szCs w:val="23"/>
        </w:rPr>
        <w:t>ulteriori vantaggi</w:t>
      </w:r>
      <w:r w:rsidR="00B01218" w:rsidRPr="00CE29B8">
        <w:rPr>
          <w:rFonts w:ascii="Arial" w:hAnsi="Arial" w:cs="Arial"/>
          <w:sz w:val="23"/>
          <w:szCs w:val="23"/>
        </w:rPr>
        <w:t xml:space="preserve"> per i creditori che partecipano alle trattative</w:t>
      </w:r>
      <w:r w:rsidRPr="00CE29B8">
        <w:rPr>
          <w:rFonts w:ascii="Arial" w:hAnsi="Arial" w:cs="Arial"/>
          <w:sz w:val="23"/>
          <w:szCs w:val="23"/>
        </w:rPr>
        <w:t>”</w:t>
      </w:r>
      <w:r w:rsidR="00B01218" w:rsidRPr="00CE29B8">
        <w:rPr>
          <w:rFonts w:ascii="Arial" w:hAnsi="Arial" w:cs="Arial"/>
          <w:sz w:val="23"/>
          <w:szCs w:val="23"/>
        </w:rPr>
        <w:t>.</w:t>
      </w:r>
      <w:r w:rsidRPr="00CE29B8">
        <w:rPr>
          <w:rFonts w:ascii="Arial" w:hAnsi="Arial" w:cs="Arial"/>
          <w:sz w:val="23"/>
          <w:szCs w:val="23"/>
        </w:rPr>
        <w:t xml:space="preserve"> “La nostra proposta emendativa – </w:t>
      </w:r>
      <w:r w:rsidR="005C3B2F">
        <w:rPr>
          <w:rFonts w:ascii="Arial" w:hAnsi="Arial" w:cs="Arial"/>
          <w:sz w:val="23"/>
          <w:szCs w:val="23"/>
        </w:rPr>
        <w:t>hanno spiegato</w:t>
      </w:r>
      <w:r w:rsidRPr="00CE29B8">
        <w:rPr>
          <w:rFonts w:ascii="Arial" w:hAnsi="Arial" w:cs="Arial"/>
          <w:sz w:val="23"/>
          <w:szCs w:val="23"/>
        </w:rPr>
        <w:t xml:space="preserve"> </w:t>
      </w:r>
      <w:r w:rsidR="00A123F8">
        <w:rPr>
          <w:rFonts w:ascii="Arial" w:hAnsi="Arial" w:cs="Arial"/>
          <w:sz w:val="23"/>
          <w:szCs w:val="23"/>
        </w:rPr>
        <w:t>–</w:t>
      </w:r>
      <w:r w:rsidR="00B01218" w:rsidRPr="00CE29B8">
        <w:rPr>
          <w:rFonts w:ascii="Arial" w:hAnsi="Arial" w:cs="Arial"/>
          <w:sz w:val="23"/>
          <w:szCs w:val="23"/>
        </w:rPr>
        <w:t xml:space="preserve"> consent</w:t>
      </w:r>
      <w:r w:rsidRPr="00CE29B8">
        <w:rPr>
          <w:rFonts w:ascii="Arial" w:hAnsi="Arial" w:cs="Arial"/>
          <w:sz w:val="23"/>
          <w:szCs w:val="23"/>
        </w:rPr>
        <w:t xml:space="preserve">irebbe </w:t>
      </w:r>
      <w:r w:rsidR="00B01218" w:rsidRPr="00CE29B8">
        <w:rPr>
          <w:rFonts w:ascii="Arial" w:hAnsi="Arial" w:cs="Arial"/>
          <w:sz w:val="23"/>
          <w:szCs w:val="23"/>
        </w:rPr>
        <w:t xml:space="preserve">al debitore di raggiungere un accordo per la </w:t>
      </w:r>
      <w:r w:rsidR="00B01218" w:rsidRPr="00CE29B8">
        <w:rPr>
          <w:rFonts w:ascii="Arial" w:hAnsi="Arial" w:cs="Arial"/>
          <w:b/>
          <w:bCs/>
          <w:sz w:val="23"/>
          <w:szCs w:val="23"/>
        </w:rPr>
        <w:t>decurtazione o la dilazione dei debiti tributari o contributivi</w:t>
      </w:r>
      <w:r w:rsidR="00B01218" w:rsidRPr="00CE29B8">
        <w:rPr>
          <w:rFonts w:ascii="Arial" w:hAnsi="Arial" w:cs="Arial"/>
          <w:sz w:val="23"/>
          <w:szCs w:val="23"/>
        </w:rPr>
        <w:t xml:space="preserve">, </w:t>
      </w:r>
      <w:r w:rsidR="00B01218" w:rsidRPr="00CE29B8">
        <w:rPr>
          <w:rFonts w:ascii="Arial" w:hAnsi="Arial" w:cs="Arial"/>
          <w:bCs/>
          <w:sz w:val="23"/>
          <w:szCs w:val="23"/>
        </w:rPr>
        <w:t>anche se già affidati in carico all’agente della riscossione,</w:t>
      </w:r>
      <w:r w:rsidR="00B01218" w:rsidRPr="00CE29B8">
        <w:rPr>
          <w:rFonts w:ascii="Arial" w:hAnsi="Arial" w:cs="Arial"/>
          <w:sz w:val="23"/>
          <w:szCs w:val="23"/>
        </w:rPr>
        <w:t xml:space="preserve"> e dei debiti per accessori,</w:t>
      </w:r>
      <w:r w:rsidR="00B01218" w:rsidRPr="00CE29B8">
        <w:rPr>
          <w:rFonts w:ascii="Arial" w:hAnsi="Arial" w:cs="Arial"/>
          <w:bCs/>
          <w:sz w:val="23"/>
          <w:szCs w:val="23"/>
        </w:rPr>
        <w:t xml:space="preserve"> </w:t>
      </w:r>
      <w:r w:rsidR="00B01218" w:rsidRPr="00CE29B8">
        <w:rPr>
          <w:rFonts w:ascii="Arial" w:hAnsi="Arial" w:cs="Arial"/>
          <w:sz w:val="23"/>
          <w:szCs w:val="23"/>
        </w:rPr>
        <w:t>funzionale al buon esito delle trattativ</w:t>
      </w:r>
      <w:r w:rsidRPr="00CE29B8">
        <w:rPr>
          <w:rFonts w:ascii="Arial" w:hAnsi="Arial" w:cs="Arial"/>
          <w:sz w:val="23"/>
          <w:szCs w:val="23"/>
        </w:rPr>
        <w:t>e”</w:t>
      </w:r>
    </w:p>
    <w:p w14:paraId="69E633EA" w14:textId="77777777" w:rsidR="004E47AC" w:rsidRPr="00CE29B8" w:rsidRDefault="004E47AC" w:rsidP="00E705B5">
      <w:pPr>
        <w:jc w:val="both"/>
        <w:rPr>
          <w:rFonts w:ascii="Arial" w:hAnsi="Arial" w:cs="Arial"/>
          <w:sz w:val="23"/>
          <w:szCs w:val="23"/>
        </w:rPr>
      </w:pPr>
    </w:p>
    <w:p w14:paraId="494573BF" w14:textId="2AD0652A" w:rsidR="00810BAA" w:rsidRPr="00CE29B8" w:rsidRDefault="001F01FA" w:rsidP="00E705B5">
      <w:pPr>
        <w:jc w:val="both"/>
        <w:rPr>
          <w:rFonts w:ascii="Arial" w:hAnsi="Arial" w:cs="Arial"/>
          <w:sz w:val="23"/>
          <w:szCs w:val="23"/>
        </w:rPr>
      </w:pPr>
      <w:r w:rsidRPr="00CE29B8">
        <w:rPr>
          <w:rFonts w:ascii="Arial" w:hAnsi="Arial" w:cs="Arial"/>
          <w:sz w:val="23"/>
          <w:szCs w:val="23"/>
        </w:rPr>
        <w:t xml:space="preserve">In materia di </w:t>
      </w:r>
      <w:r w:rsidRPr="00CE29B8">
        <w:rPr>
          <w:rFonts w:ascii="Arial" w:hAnsi="Arial" w:cs="Arial"/>
          <w:b/>
          <w:bCs/>
          <w:sz w:val="23"/>
          <w:szCs w:val="23"/>
        </w:rPr>
        <w:t>giustizia triduaria</w:t>
      </w:r>
      <w:r w:rsidRPr="00CE29B8">
        <w:rPr>
          <w:rFonts w:ascii="Arial" w:hAnsi="Arial" w:cs="Arial"/>
          <w:sz w:val="23"/>
          <w:szCs w:val="23"/>
        </w:rPr>
        <w:t xml:space="preserve">, i Commercialisti </w:t>
      </w:r>
      <w:r w:rsidR="004E47AC" w:rsidRPr="00CE29B8">
        <w:rPr>
          <w:rFonts w:ascii="Arial" w:hAnsi="Arial" w:cs="Arial"/>
          <w:sz w:val="23"/>
          <w:szCs w:val="23"/>
        </w:rPr>
        <w:t xml:space="preserve">propongono di </w:t>
      </w:r>
      <w:r w:rsidR="004E47AC" w:rsidRPr="00CE29B8">
        <w:rPr>
          <w:rFonts w:ascii="Arial" w:hAnsi="Arial" w:cs="Arial"/>
          <w:b/>
          <w:bCs/>
          <w:sz w:val="23"/>
          <w:szCs w:val="23"/>
        </w:rPr>
        <w:t xml:space="preserve">abrogare </w:t>
      </w:r>
      <w:r w:rsidR="00810BAA" w:rsidRPr="00CE29B8">
        <w:rPr>
          <w:rFonts w:ascii="Arial" w:hAnsi="Arial" w:cs="Arial"/>
          <w:b/>
          <w:bCs/>
          <w:sz w:val="23"/>
          <w:szCs w:val="23"/>
        </w:rPr>
        <w:t>l’</w:t>
      </w:r>
      <w:r w:rsidR="004E47AC" w:rsidRPr="00CE29B8">
        <w:rPr>
          <w:rFonts w:ascii="Arial" w:hAnsi="Arial" w:cs="Arial"/>
          <w:b/>
          <w:bCs/>
          <w:sz w:val="23"/>
          <w:szCs w:val="23"/>
        </w:rPr>
        <w:t>innalzamento a 5.000 euro</w:t>
      </w:r>
      <w:r w:rsidR="004E47AC" w:rsidRPr="00CE29B8">
        <w:rPr>
          <w:rFonts w:ascii="Arial" w:hAnsi="Arial" w:cs="Arial"/>
          <w:sz w:val="23"/>
          <w:szCs w:val="23"/>
        </w:rPr>
        <w:t xml:space="preserve"> del limite </w:t>
      </w:r>
      <w:r w:rsidR="004E47AC" w:rsidRPr="00CE29B8">
        <w:rPr>
          <w:rFonts w:ascii="Arial" w:hAnsi="Arial" w:cs="Arial"/>
          <w:bCs/>
          <w:sz w:val="23"/>
          <w:szCs w:val="23"/>
        </w:rPr>
        <w:t xml:space="preserve">di valore per il </w:t>
      </w:r>
      <w:r w:rsidR="004E47AC" w:rsidRPr="00CE29B8">
        <w:rPr>
          <w:rFonts w:ascii="Arial" w:hAnsi="Arial" w:cs="Arial"/>
          <w:b/>
          <w:sz w:val="23"/>
          <w:szCs w:val="23"/>
        </w:rPr>
        <w:t>giudizio monocratico</w:t>
      </w:r>
      <w:r w:rsidR="004E47AC" w:rsidRPr="00CE29B8">
        <w:rPr>
          <w:rFonts w:ascii="Arial" w:hAnsi="Arial" w:cs="Arial"/>
          <w:bCs/>
          <w:sz w:val="23"/>
          <w:szCs w:val="23"/>
        </w:rPr>
        <w:t xml:space="preserve"> tributario di primo grado</w:t>
      </w:r>
      <w:r w:rsidR="00F0658B" w:rsidRPr="00CE29B8">
        <w:rPr>
          <w:rFonts w:ascii="Arial" w:hAnsi="Arial" w:cs="Arial"/>
          <w:bCs/>
          <w:sz w:val="23"/>
          <w:szCs w:val="23"/>
        </w:rPr>
        <w:t xml:space="preserve">, tutelando così il </w:t>
      </w:r>
      <w:r w:rsidR="00F0658B" w:rsidRPr="00CE29B8">
        <w:rPr>
          <w:rFonts w:ascii="Arial" w:hAnsi="Arial" w:cs="Arial"/>
          <w:b/>
          <w:sz w:val="23"/>
          <w:szCs w:val="23"/>
        </w:rPr>
        <w:t>valore della collegialità</w:t>
      </w:r>
      <w:r w:rsidR="00F0658B" w:rsidRPr="00CE29B8">
        <w:rPr>
          <w:rFonts w:ascii="Arial" w:hAnsi="Arial" w:cs="Arial"/>
          <w:bCs/>
          <w:sz w:val="23"/>
          <w:szCs w:val="23"/>
        </w:rPr>
        <w:t xml:space="preserve"> </w:t>
      </w:r>
      <w:r w:rsidR="00F0658B" w:rsidRPr="00CE29B8">
        <w:rPr>
          <w:rFonts w:ascii="Arial" w:hAnsi="Arial" w:cs="Arial"/>
          <w:sz w:val="23"/>
          <w:szCs w:val="23"/>
        </w:rPr>
        <w:t>degli organi di giustizia tributaria</w:t>
      </w:r>
      <w:r w:rsidR="004E47AC" w:rsidRPr="00CE29B8">
        <w:rPr>
          <w:rFonts w:ascii="Arial" w:hAnsi="Arial" w:cs="Arial"/>
          <w:bCs/>
          <w:sz w:val="23"/>
          <w:szCs w:val="23"/>
        </w:rPr>
        <w:t xml:space="preserve">. </w:t>
      </w:r>
      <w:r w:rsidR="00810BAA" w:rsidRPr="00CE29B8">
        <w:rPr>
          <w:rFonts w:ascii="Arial" w:hAnsi="Arial" w:cs="Arial"/>
          <w:bCs/>
          <w:sz w:val="23"/>
          <w:szCs w:val="23"/>
        </w:rPr>
        <w:t>“</w:t>
      </w:r>
      <w:r w:rsidR="00810BAA" w:rsidRPr="00CE29B8">
        <w:rPr>
          <w:rFonts w:ascii="Arial" w:hAnsi="Arial" w:cs="Arial"/>
          <w:sz w:val="23"/>
          <w:szCs w:val="23"/>
        </w:rPr>
        <w:t>L</w:t>
      </w:r>
      <w:r w:rsidR="000464E3" w:rsidRPr="00CE29B8">
        <w:rPr>
          <w:rFonts w:ascii="Arial" w:hAnsi="Arial" w:cs="Arial"/>
          <w:sz w:val="23"/>
          <w:szCs w:val="23"/>
        </w:rPr>
        <w:t xml:space="preserve">a recente riforma della giustizia </w:t>
      </w:r>
      <w:r w:rsidR="00810BAA" w:rsidRPr="00CE29B8">
        <w:rPr>
          <w:rFonts w:ascii="Arial" w:hAnsi="Arial" w:cs="Arial"/>
          <w:sz w:val="23"/>
          <w:szCs w:val="23"/>
        </w:rPr>
        <w:t xml:space="preserve">tributaria </w:t>
      </w:r>
      <w:r w:rsidR="005C3B2F">
        <w:rPr>
          <w:rFonts w:ascii="Arial" w:hAnsi="Arial" w:cs="Arial"/>
          <w:sz w:val="23"/>
          <w:szCs w:val="23"/>
        </w:rPr>
        <w:t>–</w:t>
      </w:r>
      <w:r w:rsidR="00810BAA" w:rsidRPr="00CE29B8">
        <w:rPr>
          <w:rFonts w:ascii="Arial" w:hAnsi="Arial" w:cs="Arial"/>
          <w:sz w:val="23"/>
          <w:szCs w:val="23"/>
        </w:rPr>
        <w:t xml:space="preserve"> ha</w:t>
      </w:r>
      <w:r w:rsidR="005C3B2F">
        <w:rPr>
          <w:rFonts w:ascii="Arial" w:hAnsi="Arial" w:cs="Arial"/>
          <w:sz w:val="23"/>
          <w:szCs w:val="23"/>
        </w:rPr>
        <w:t xml:space="preserve">nno proseguito - </w:t>
      </w:r>
      <w:r w:rsidR="00810BAA" w:rsidRPr="00CE29B8">
        <w:rPr>
          <w:rFonts w:ascii="Arial" w:hAnsi="Arial" w:cs="Arial"/>
          <w:sz w:val="23"/>
          <w:szCs w:val="23"/>
        </w:rPr>
        <w:t xml:space="preserve">ha attribuito alla competenza del </w:t>
      </w:r>
      <w:r w:rsidR="00810BAA" w:rsidRPr="00CE29B8">
        <w:rPr>
          <w:rFonts w:ascii="Arial" w:hAnsi="Arial" w:cs="Arial"/>
          <w:bCs/>
          <w:sz w:val="23"/>
          <w:szCs w:val="23"/>
        </w:rPr>
        <w:t xml:space="preserve">giudice monocratico </w:t>
      </w:r>
      <w:r w:rsidR="00810BAA" w:rsidRPr="00CE29B8">
        <w:rPr>
          <w:rFonts w:ascii="Arial" w:hAnsi="Arial" w:cs="Arial"/>
          <w:sz w:val="23"/>
          <w:szCs w:val="23"/>
        </w:rPr>
        <w:t xml:space="preserve">in primo grado le controversie entro il limite di 3.000 euro di valore, con l’obiettivo di </w:t>
      </w:r>
      <w:r w:rsidR="00810BAA" w:rsidRPr="00CE29B8">
        <w:rPr>
          <w:rFonts w:ascii="Arial" w:hAnsi="Arial" w:cs="Arial"/>
          <w:b/>
          <w:bCs/>
          <w:sz w:val="23"/>
          <w:szCs w:val="23"/>
        </w:rPr>
        <w:t>deflazionare il contenzioso delle Corti di giustizia tributaria</w:t>
      </w:r>
      <w:r w:rsidR="00810BAA" w:rsidRPr="00CE29B8">
        <w:rPr>
          <w:rFonts w:ascii="Arial" w:hAnsi="Arial" w:cs="Arial"/>
          <w:sz w:val="23"/>
          <w:szCs w:val="23"/>
        </w:rPr>
        <w:t xml:space="preserve"> di primo grado, sottraendo al giudice collegiale la decisione sulle controversie di minor valore. Il comma 2 dell’articolo 40, che proponiamo di abrogare,</w:t>
      </w:r>
      <w:r w:rsidR="00810BAA" w:rsidRPr="00CE29B8">
        <w:rPr>
          <w:rFonts w:ascii="Arial" w:hAnsi="Arial" w:cs="Arial"/>
          <w:bCs/>
          <w:sz w:val="23"/>
          <w:szCs w:val="23"/>
        </w:rPr>
        <w:t xml:space="preserve"> interviene su tale disciplina </w:t>
      </w:r>
      <w:r w:rsidR="00810BAA" w:rsidRPr="00CE29B8">
        <w:rPr>
          <w:rFonts w:ascii="Arial" w:hAnsi="Arial" w:cs="Arial"/>
          <w:sz w:val="23"/>
          <w:szCs w:val="23"/>
        </w:rPr>
        <w:t xml:space="preserve">al fine di ridurre ulteriormente i tempi del processo tributario di merito, innalzando </w:t>
      </w:r>
      <w:r w:rsidR="00F0658B" w:rsidRPr="00CE29B8">
        <w:rPr>
          <w:rFonts w:ascii="Arial" w:hAnsi="Arial" w:cs="Arial"/>
          <w:sz w:val="23"/>
          <w:szCs w:val="23"/>
        </w:rPr>
        <w:t xml:space="preserve">quel limite </w:t>
      </w:r>
      <w:r w:rsidR="00810BAA" w:rsidRPr="00CE29B8">
        <w:rPr>
          <w:rFonts w:ascii="Arial" w:hAnsi="Arial" w:cs="Arial"/>
          <w:sz w:val="23"/>
          <w:szCs w:val="23"/>
        </w:rPr>
        <w:t xml:space="preserve">da 3.000 euro a 5.000. </w:t>
      </w:r>
      <w:r w:rsidR="005C3B2F">
        <w:rPr>
          <w:rFonts w:ascii="Arial" w:hAnsi="Arial" w:cs="Arial"/>
          <w:sz w:val="23"/>
          <w:szCs w:val="23"/>
        </w:rPr>
        <w:t>L</w:t>
      </w:r>
      <w:r w:rsidR="00810BAA" w:rsidRPr="005C3B2F">
        <w:rPr>
          <w:rFonts w:ascii="Arial" w:hAnsi="Arial" w:cs="Arial"/>
          <w:sz w:val="23"/>
          <w:szCs w:val="23"/>
        </w:rPr>
        <w:t>’</w:t>
      </w:r>
      <w:r w:rsidR="00810BAA" w:rsidRPr="00CE29B8">
        <w:rPr>
          <w:rFonts w:ascii="Arial" w:hAnsi="Arial" w:cs="Arial"/>
          <w:b/>
          <w:bCs/>
          <w:sz w:val="23"/>
          <w:szCs w:val="23"/>
        </w:rPr>
        <w:t>estrema complessità ed eterogeneità</w:t>
      </w:r>
      <w:r w:rsidR="00810BAA" w:rsidRPr="00CE29B8">
        <w:rPr>
          <w:rFonts w:ascii="Arial" w:hAnsi="Arial" w:cs="Arial"/>
          <w:sz w:val="23"/>
          <w:szCs w:val="23"/>
        </w:rPr>
        <w:t xml:space="preserve"> del giudizio tributario, che richiede all’organo giudicante </w:t>
      </w:r>
      <w:r w:rsidR="00810BAA" w:rsidRPr="00CE29B8">
        <w:rPr>
          <w:rFonts w:ascii="Arial" w:hAnsi="Arial" w:cs="Arial"/>
          <w:b/>
          <w:bCs/>
          <w:sz w:val="23"/>
          <w:szCs w:val="23"/>
        </w:rPr>
        <w:t>competenze specialistiche</w:t>
      </w:r>
      <w:r w:rsidR="00810BAA" w:rsidRPr="00CE29B8">
        <w:rPr>
          <w:rFonts w:ascii="Arial" w:hAnsi="Arial" w:cs="Arial"/>
          <w:sz w:val="23"/>
          <w:szCs w:val="23"/>
        </w:rPr>
        <w:t xml:space="preserve"> tanto nelle materie giuridiche quanto in quelle economico-aziendali, non facilmente rinvenibili in un unico soggetto, induce ancora oggi a ritenere che la collegialità degli organi di giustizia tributaria sia un valore da preservare, indipendentemente dal valore della controversia. </w:t>
      </w:r>
      <w:r w:rsidR="000464E3" w:rsidRPr="00CE29B8">
        <w:rPr>
          <w:rFonts w:ascii="Arial" w:hAnsi="Arial" w:cs="Arial"/>
          <w:sz w:val="23"/>
          <w:szCs w:val="23"/>
        </w:rPr>
        <w:t>Tanto più che l</w:t>
      </w:r>
      <w:r w:rsidR="00810BAA" w:rsidRPr="00CE29B8">
        <w:rPr>
          <w:rFonts w:ascii="Arial" w:hAnsi="Arial" w:cs="Arial"/>
          <w:sz w:val="23"/>
          <w:szCs w:val="23"/>
        </w:rPr>
        <w:t>a lodevole introduzione del giudice monocratico nel processo tributario</w:t>
      </w:r>
      <w:r w:rsidR="000464E3" w:rsidRPr="00CE29B8">
        <w:rPr>
          <w:rFonts w:ascii="Arial" w:hAnsi="Arial" w:cs="Arial"/>
          <w:sz w:val="23"/>
          <w:szCs w:val="23"/>
        </w:rPr>
        <w:t xml:space="preserve">, </w:t>
      </w:r>
      <w:r w:rsidR="00810BAA" w:rsidRPr="00CE29B8">
        <w:rPr>
          <w:rFonts w:ascii="Arial" w:hAnsi="Arial" w:cs="Arial"/>
          <w:sz w:val="23"/>
          <w:szCs w:val="23"/>
        </w:rPr>
        <w:t>giustifica</w:t>
      </w:r>
      <w:r w:rsidR="000464E3" w:rsidRPr="00CE29B8">
        <w:rPr>
          <w:rFonts w:ascii="Arial" w:hAnsi="Arial" w:cs="Arial"/>
          <w:sz w:val="23"/>
          <w:szCs w:val="23"/>
        </w:rPr>
        <w:t xml:space="preserve">ta dalla previsione della riforma della </w:t>
      </w:r>
      <w:r w:rsidR="00810BAA" w:rsidRPr="00CE29B8">
        <w:rPr>
          <w:rFonts w:ascii="Arial" w:hAnsi="Arial" w:cs="Arial"/>
          <w:sz w:val="23"/>
          <w:szCs w:val="23"/>
        </w:rPr>
        <w:t xml:space="preserve">figura del </w:t>
      </w:r>
      <w:r w:rsidR="00810BAA" w:rsidRPr="00CE29B8">
        <w:rPr>
          <w:rFonts w:ascii="Arial" w:hAnsi="Arial" w:cs="Arial"/>
          <w:b/>
          <w:bCs/>
          <w:sz w:val="23"/>
          <w:szCs w:val="23"/>
        </w:rPr>
        <w:t>magistrato tributario professionale a tempo pieno</w:t>
      </w:r>
      <w:r w:rsidR="00810BAA" w:rsidRPr="00CE29B8">
        <w:rPr>
          <w:rFonts w:ascii="Arial" w:hAnsi="Arial" w:cs="Arial"/>
          <w:sz w:val="23"/>
          <w:szCs w:val="23"/>
        </w:rPr>
        <w:t>, richiede tempi ancora molto lunghi</w:t>
      </w:r>
      <w:r w:rsidR="000464E3" w:rsidRPr="00CE29B8">
        <w:rPr>
          <w:rFonts w:ascii="Arial" w:hAnsi="Arial" w:cs="Arial"/>
          <w:sz w:val="23"/>
          <w:szCs w:val="23"/>
        </w:rPr>
        <w:t>”</w:t>
      </w:r>
      <w:r w:rsidR="00810BAA" w:rsidRPr="00CE29B8">
        <w:rPr>
          <w:rFonts w:ascii="Arial" w:hAnsi="Arial" w:cs="Arial"/>
          <w:sz w:val="23"/>
          <w:szCs w:val="23"/>
        </w:rPr>
        <w:t>.</w:t>
      </w:r>
      <w:r w:rsidR="000464E3" w:rsidRPr="00CE29B8">
        <w:rPr>
          <w:rFonts w:ascii="Arial" w:hAnsi="Arial" w:cs="Arial"/>
          <w:sz w:val="23"/>
          <w:szCs w:val="23"/>
        </w:rPr>
        <w:t xml:space="preserve"> “L’attuale carenza di magistrati tributari a tempo pieno impone dunque una </w:t>
      </w:r>
      <w:r w:rsidR="000464E3" w:rsidRPr="00CE29B8">
        <w:rPr>
          <w:rFonts w:ascii="Arial" w:hAnsi="Arial" w:cs="Arial"/>
          <w:b/>
          <w:bCs/>
          <w:sz w:val="23"/>
          <w:szCs w:val="23"/>
        </w:rPr>
        <w:t>maggiore prudenza</w:t>
      </w:r>
      <w:r w:rsidR="000464E3" w:rsidRPr="00CE29B8">
        <w:rPr>
          <w:rFonts w:ascii="Arial" w:hAnsi="Arial" w:cs="Arial"/>
          <w:sz w:val="23"/>
          <w:szCs w:val="23"/>
        </w:rPr>
        <w:t xml:space="preserve"> nei confronti di misure come quella di cui proponiamo l’abolizione”, ha</w:t>
      </w:r>
      <w:r w:rsidR="005C3B2F">
        <w:rPr>
          <w:rFonts w:ascii="Arial" w:hAnsi="Arial" w:cs="Arial"/>
          <w:sz w:val="23"/>
          <w:szCs w:val="23"/>
        </w:rPr>
        <w:t>nno</w:t>
      </w:r>
      <w:r w:rsidR="000464E3" w:rsidRPr="00CE29B8">
        <w:rPr>
          <w:rFonts w:ascii="Arial" w:hAnsi="Arial" w:cs="Arial"/>
          <w:sz w:val="23"/>
          <w:szCs w:val="23"/>
        </w:rPr>
        <w:t xml:space="preserve"> concluso. </w:t>
      </w:r>
    </w:p>
    <w:p w14:paraId="24C56034" w14:textId="0876445A" w:rsidR="00810BAA" w:rsidRDefault="00810BAA" w:rsidP="00810BAA">
      <w:pPr>
        <w:jc w:val="both"/>
        <w:rPr>
          <w:rFonts w:ascii="Arial Narrow" w:hAnsi="Arial Narrow"/>
          <w:sz w:val="24"/>
          <w:szCs w:val="24"/>
        </w:rPr>
      </w:pPr>
    </w:p>
    <w:p w14:paraId="1554DAED" w14:textId="43085EF7" w:rsidR="00810BAA" w:rsidRDefault="00810BAA" w:rsidP="00810BAA">
      <w:pPr>
        <w:jc w:val="both"/>
        <w:rPr>
          <w:rFonts w:ascii="Arial Narrow" w:hAnsi="Arial Narrow"/>
          <w:sz w:val="24"/>
          <w:szCs w:val="24"/>
        </w:rPr>
      </w:pPr>
    </w:p>
    <w:p w14:paraId="1D1F2CC1" w14:textId="735F647A" w:rsidR="00433D7B" w:rsidRPr="00810BAA" w:rsidRDefault="00433D7B" w:rsidP="000F053D">
      <w:pPr>
        <w:jc w:val="both"/>
        <w:rPr>
          <w:rFonts w:ascii="Arial" w:hAnsi="Arial" w:cs="Arial"/>
          <w:sz w:val="24"/>
          <w:szCs w:val="24"/>
        </w:rPr>
      </w:pPr>
    </w:p>
    <w:sectPr w:rsidR="00433D7B" w:rsidRPr="00810BA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24F1" w14:textId="77777777" w:rsidR="00E674BE" w:rsidRDefault="00E674BE" w:rsidP="00023486">
      <w:r>
        <w:separator/>
      </w:r>
    </w:p>
  </w:endnote>
  <w:endnote w:type="continuationSeparator" w:id="0">
    <w:p w14:paraId="66A0198F" w14:textId="77777777" w:rsidR="00E674BE" w:rsidRDefault="00E674BE" w:rsidP="0002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7CD3" w14:textId="77777777" w:rsidR="00E674BE" w:rsidRDefault="00E674BE" w:rsidP="00023486">
      <w:r>
        <w:separator/>
      </w:r>
    </w:p>
  </w:footnote>
  <w:footnote w:type="continuationSeparator" w:id="0">
    <w:p w14:paraId="62BA1133" w14:textId="77777777" w:rsidR="00E674BE" w:rsidRDefault="00E674BE" w:rsidP="0002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787B" w14:textId="1241885B" w:rsidR="00023486" w:rsidRDefault="00023486" w:rsidP="0002348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718B384" wp14:editId="09ABD275">
          <wp:extent cx="3320126" cy="1127760"/>
          <wp:effectExtent l="0" t="0" r="0" b="0"/>
          <wp:docPr id="2" name="Immagine 2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0822" cy="114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86"/>
    <w:rsid w:val="00023486"/>
    <w:rsid w:val="000464E3"/>
    <w:rsid w:val="000F053D"/>
    <w:rsid w:val="0010541F"/>
    <w:rsid w:val="00186BE1"/>
    <w:rsid w:val="001A2014"/>
    <w:rsid w:val="001A392E"/>
    <w:rsid w:val="001B62A9"/>
    <w:rsid w:val="001F01FA"/>
    <w:rsid w:val="00213305"/>
    <w:rsid w:val="00292807"/>
    <w:rsid w:val="002E4B3D"/>
    <w:rsid w:val="002F60AC"/>
    <w:rsid w:val="0030587E"/>
    <w:rsid w:val="003267A7"/>
    <w:rsid w:val="003640DD"/>
    <w:rsid w:val="003C296C"/>
    <w:rsid w:val="003F04E2"/>
    <w:rsid w:val="00417165"/>
    <w:rsid w:val="00433D7B"/>
    <w:rsid w:val="00435D70"/>
    <w:rsid w:val="004E47AC"/>
    <w:rsid w:val="004F2DD2"/>
    <w:rsid w:val="005010A5"/>
    <w:rsid w:val="00542351"/>
    <w:rsid w:val="00551761"/>
    <w:rsid w:val="005C3B2F"/>
    <w:rsid w:val="005E2BD6"/>
    <w:rsid w:val="00643B08"/>
    <w:rsid w:val="006D519D"/>
    <w:rsid w:val="007532B9"/>
    <w:rsid w:val="00810BAA"/>
    <w:rsid w:val="008112D7"/>
    <w:rsid w:val="00857BDB"/>
    <w:rsid w:val="00890795"/>
    <w:rsid w:val="009162D7"/>
    <w:rsid w:val="009813DC"/>
    <w:rsid w:val="00A123F8"/>
    <w:rsid w:val="00A23A10"/>
    <w:rsid w:val="00A86B06"/>
    <w:rsid w:val="00B01218"/>
    <w:rsid w:val="00B4587D"/>
    <w:rsid w:val="00BE31B6"/>
    <w:rsid w:val="00BF1A19"/>
    <w:rsid w:val="00C00E45"/>
    <w:rsid w:val="00C04F5C"/>
    <w:rsid w:val="00C62CF1"/>
    <w:rsid w:val="00C848FE"/>
    <w:rsid w:val="00C925A6"/>
    <w:rsid w:val="00CE29B8"/>
    <w:rsid w:val="00D94716"/>
    <w:rsid w:val="00E674BE"/>
    <w:rsid w:val="00E705B5"/>
    <w:rsid w:val="00F0658B"/>
    <w:rsid w:val="00F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F6C5"/>
  <w15:chartTrackingRefBased/>
  <w15:docId w15:val="{CA432A40-F4F4-4502-B94A-E21CBCE5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3486"/>
    <w:pPr>
      <w:spacing w:after="0" w:line="240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3486"/>
    <w:pPr>
      <w:tabs>
        <w:tab w:val="center" w:pos="4819"/>
        <w:tab w:val="right" w:pos="9638"/>
      </w:tabs>
    </w:pPr>
    <w:rPr>
      <w:rFonts w:eastAsia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486"/>
  </w:style>
  <w:style w:type="paragraph" w:styleId="Pidipagina">
    <w:name w:val="footer"/>
    <w:basedOn w:val="Normale"/>
    <w:link w:val="PidipaginaCarattere"/>
    <w:uiPriority w:val="99"/>
    <w:unhideWhenUsed/>
    <w:rsid w:val="00023486"/>
    <w:pPr>
      <w:tabs>
        <w:tab w:val="center" w:pos="4819"/>
        <w:tab w:val="right" w:pos="9638"/>
      </w:tabs>
    </w:pPr>
    <w:rPr>
      <w:rFonts w:eastAsia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486"/>
  </w:style>
  <w:style w:type="paragraph" w:customStyle="1" w:styleId="xmsonormal">
    <w:name w:val="xmsonormal"/>
    <w:basedOn w:val="Normale"/>
    <w:rsid w:val="00023486"/>
    <w:rPr>
      <w:rFonts w:ascii="Calibri" w:eastAsiaTheme="minorHAns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02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10</cp:revision>
  <dcterms:created xsi:type="dcterms:W3CDTF">2023-03-06T13:39:00Z</dcterms:created>
  <dcterms:modified xsi:type="dcterms:W3CDTF">2023-03-06T18:34:00Z</dcterms:modified>
</cp:coreProperties>
</file>