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393491" w:rsidRDefault="006C3945" w:rsidP="006C3945">
      <w:pPr>
        <w:rPr>
          <w:rFonts w:ascii="Arial" w:eastAsia="Times New Roman" w:hAnsi="Arial" w:cs="Arial"/>
          <w:sz w:val="24"/>
          <w:szCs w:val="24"/>
        </w:rPr>
      </w:pPr>
      <w:bookmarkStart w:id="0" w:name="_Hlk534887837"/>
      <w:bookmarkStart w:id="1" w:name="_Hlk29975925"/>
    </w:p>
    <w:p w:rsidR="004627E0" w:rsidRDefault="004627E0" w:rsidP="004627E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34231780"/>
      <w:bookmarkStart w:id="3" w:name="_Hlk34381183"/>
      <w:bookmarkStart w:id="4" w:name="_GoBack"/>
      <w:bookmarkEnd w:id="0"/>
      <w:bookmarkEnd w:id="1"/>
      <w:r w:rsidRPr="00393491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F87561" w:rsidRPr="00393491" w:rsidRDefault="00F87561" w:rsidP="004627E0">
      <w:pPr>
        <w:jc w:val="both"/>
        <w:rPr>
          <w:rFonts w:ascii="Arial" w:hAnsi="Arial" w:cs="Arial"/>
          <w:sz w:val="24"/>
          <w:szCs w:val="24"/>
        </w:rPr>
      </w:pPr>
    </w:p>
    <w:p w:rsidR="004627E0" w:rsidRPr="00F87561" w:rsidRDefault="00F87561" w:rsidP="004627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7561">
        <w:rPr>
          <w:rFonts w:ascii="Arial" w:hAnsi="Arial" w:cs="Arial"/>
          <w:b/>
          <w:bCs/>
          <w:sz w:val="28"/>
          <w:szCs w:val="28"/>
        </w:rPr>
        <w:t>TERZO SETTORE, DAI COMMERCIALISTI LE NORME DI COMPORTAMENTO DELL’ORGANO DI CONTROLLO</w:t>
      </w:r>
    </w:p>
    <w:bookmarkEnd w:id="2"/>
    <w:p w:rsidR="00F87561" w:rsidRPr="00F87561" w:rsidRDefault="00D811FE" w:rsidP="00F875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7561">
        <w:rPr>
          <w:rFonts w:ascii="Arial" w:hAnsi="Arial" w:cs="Arial"/>
          <w:b/>
          <w:bCs/>
          <w:sz w:val="24"/>
          <w:szCs w:val="24"/>
        </w:rPr>
        <w:t xml:space="preserve">Testo </w:t>
      </w:r>
      <w:r w:rsidR="00F87561" w:rsidRPr="00F87561">
        <w:rPr>
          <w:rFonts w:ascii="Arial" w:hAnsi="Arial" w:cs="Arial"/>
          <w:b/>
          <w:bCs/>
          <w:sz w:val="24"/>
          <w:szCs w:val="24"/>
        </w:rPr>
        <w:t xml:space="preserve">del Consiglio nazionale </w:t>
      </w:r>
      <w:r w:rsidRPr="00F87561">
        <w:rPr>
          <w:rFonts w:ascii="Arial" w:hAnsi="Arial" w:cs="Arial"/>
          <w:b/>
          <w:bCs/>
          <w:sz w:val="24"/>
          <w:szCs w:val="24"/>
        </w:rPr>
        <w:t xml:space="preserve">in pubblica consultazione fino al 26 marzo. </w:t>
      </w:r>
      <w:r w:rsidR="00F87561" w:rsidRPr="00F87561">
        <w:rPr>
          <w:rFonts w:ascii="Arial" w:hAnsi="Arial" w:cs="Arial"/>
          <w:b/>
          <w:bCs/>
          <w:sz w:val="24"/>
          <w:szCs w:val="24"/>
        </w:rPr>
        <w:t xml:space="preserve">Le Norme sono principi deontologici applicabili ai commercialisti iscritti all’Albo, ma l’auspicio è che le indicazioni fornite possano divenire generalmente riconosciute a livello di settore ed essere fatte proprie anche dai componenti degli organi di controllo non iscritti </w:t>
      </w:r>
    </w:p>
    <w:p w:rsidR="00F87561" w:rsidRPr="00D811FE" w:rsidRDefault="00F87561" w:rsidP="00F87561">
      <w:pPr>
        <w:jc w:val="both"/>
        <w:rPr>
          <w:rFonts w:ascii="Arial" w:hAnsi="Arial" w:cs="Arial"/>
          <w:sz w:val="24"/>
          <w:szCs w:val="24"/>
        </w:rPr>
      </w:pPr>
    </w:p>
    <w:p w:rsid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 w:rsidRPr="00F87561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302C6A">
        <w:rPr>
          <w:rFonts w:ascii="Arial" w:hAnsi="Arial" w:cs="Arial"/>
          <w:i/>
          <w:iCs/>
          <w:sz w:val="24"/>
          <w:szCs w:val="24"/>
        </w:rPr>
        <w:t>6</w:t>
      </w:r>
      <w:r w:rsidRPr="00F87561">
        <w:rPr>
          <w:rFonts w:ascii="Arial" w:hAnsi="Arial" w:cs="Arial"/>
          <w:i/>
          <w:iCs/>
          <w:sz w:val="24"/>
          <w:szCs w:val="24"/>
        </w:rPr>
        <w:t xml:space="preserve"> marzo 2020 -</w:t>
      </w:r>
      <w:r>
        <w:rPr>
          <w:rFonts w:ascii="Arial" w:hAnsi="Arial" w:cs="Arial"/>
          <w:sz w:val="24"/>
          <w:szCs w:val="24"/>
        </w:rPr>
        <w:t xml:space="preserve"> </w:t>
      </w:r>
      <w:r w:rsidRPr="00D811FE">
        <w:rPr>
          <w:rFonts w:ascii="Arial" w:hAnsi="Arial" w:cs="Arial"/>
          <w:sz w:val="24"/>
          <w:szCs w:val="24"/>
        </w:rPr>
        <w:t xml:space="preserve">Il Consiglio nazionale dei commercialisti ha pubblicato in consultazione fino al </w:t>
      </w:r>
      <w:r w:rsidRPr="00F87561">
        <w:rPr>
          <w:rFonts w:ascii="Arial" w:hAnsi="Arial" w:cs="Arial"/>
          <w:b/>
          <w:bCs/>
          <w:sz w:val="24"/>
          <w:szCs w:val="24"/>
        </w:rPr>
        <w:t>26 marzo 2020</w:t>
      </w:r>
      <w:r w:rsidRPr="00D811FE">
        <w:rPr>
          <w:rFonts w:ascii="Arial" w:hAnsi="Arial" w:cs="Arial"/>
          <w:sz w:val="24"/>
          <w:szCs w:val="24"/>
        </w:rPr>
        <w:t xml:space="preserve"> le “</w:t>
      </w:r>
      <w:r w:rsidRPr="00D811FE">
        <w:rPr>
          <w:rFonts w:ascii="Arial" w:hAnsi="Arial" w:cs="Arial"/>
          <w:b/>
          <w:bCs/>
          <w:sz w:val="24"/>
          <w:szCs w:val="24"/>
        </w:rPr>
        <w:t>Norme di comportamento dell’organo di controllo degli enti del Terzo settore</w:t>
      </w:r>
      <w:r w:rsidRPr="00D811F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O</w:t>
      </w:r>
      <w:r w:rsidRPr="00D811FE">
        <w:rPr>
          <w:rFonts w:ascii="Arial" w:hAnsi="Arial" w:cs="Arial"/>
          <w:sz w:val="24"/>
          <w:szCs w:val="24"/>
        </w:rPr>
        <w:t xml:space="preserve">gni interessato </w:t>
      </w:r>
      <w:r>
        <w:rPr>
          <w:rFonts w:ascii="Arial" w:hAnsi="Arial" w:cs="Arial"/>
          <w:sz w:val="24"/>
          <w:szCs w:val="24"/>
        </w:rPr>
        <w:t xml:space="preserve">può </w:t>
      </w:r>
      <w:r w:rsidRPr="00D811FE">
        <w:rPr>
          <w:rFonts w:ascii="Arial" w:hAnsi="Arial" w:cs="Arial"/>
          <w:sz w:val="24"/>
          <w:szCs w:val="24"/>
        </w:rPr>
        <w:t xml:space="preserve">trasmettere le proprie osservazioni fino a tale data alla casella di posta elettronica </w:t>
      </w:r>
      <w:hyperlink r:id="rId8" w:history="1">
        <w:r w:rsidRPr="00D811FE">
          <w:rPr>
            <w:rStyle w:val="Collegamentoipertestuale"/>
            <w:rFonts w:ascii="Arial" w:hAnsi="Arial" w:cs="Arial"/>
            <w:sz w:val="24"/>
            <w:szCs w:val="24"/>
          </w:rPr>
          <w:t>normeOCETS@commercialisti.it</w:t>
        </w:r>
      </w:hyperlink>
      <w:r w:rsidRPr="00D811FE">
        <w:rPr>
          <w:rFonts w:ascii="Arial" w:hAnsi="Arial" w:cs="Arial"/>
          <w:sz w:val="24"/>
          <w:szCs w:val="24"/>
        </w:rPr>
        <w:t xml:space="preserve">. </w:t>
      </w:r>
    </w:p>
    <w:p w:rsidR="00D811FE" w:rsidRP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</w:p>
    <w:p w:rsid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 w:rsidRPr="00D811FE">
        <w:rPr>
          <w:rFonts w:ascii="Arial" w:hAnsi="Arial" w:cs="Arial"/>
          <w:sz w:val="24"/>
          <w:szCs w:val="24"/>
        </w:rPr>
        <w:t xml:space="preserve">La pubblicazione delle Norme, predisposte grazie all’attività del Gruppo di lavoro “Principi di comportamento dell’organo di controllo ETS” e al supporto di autorevoli esperti della materia, </w:t>
      </w:r>
      <w:r w:rsidR="00F87561">
        <w:rPr>
          <w:rFonts w:ascii="Arial" w:hAnsi="Arial" w:cs="Arial"/>
          <w:sz w:val="24"/>
          <w:szCs w:val="24"/>
        </w:rPr>
        <w:t>costituisce</w:t>
      </w:r>
      <w:r w:rsidRPr="00D811FE">
        <w:rPr>
          <w:rFonts w:ascii="Arial" w:hAnsi="Arial" w:cs="Arial"/>
          <w:sz w:val="24"/>
          <w:szCs w:val="24"/>
        </w:rPr>
        <w:t xml:space="preserve"> un </w:t>
      </w:r>
      <w:r w:rsidRPr="00D811FE">
        <w:rPr>
          <w:rFonts w:ascii="Arial" w:hAnsi="Arial" w:cs="Arial"/>
          <w:b/>
          <w:bCs/>
          <w:sz w:val="24"/>
          <w:szCs w:val="24"/>
        </w:rPr>
        <w:t>importante passaggio</w:t>
      </w:r>
      <w:r w:rsidRPr="00D811FE">
        <w:rPr>
          <w:rFonts w:ascii="Arial" w:hAnsi="Arial" w:cs="Arial"/>
          <w:sz w:val="24"/>
          <w:szCs w:val="24"/>
        </w:rPr>
        <w:t xml:space="preserve"> per la preparazione tecnica degli iscritti all’albo e degli operatori del settore all’implementazione operativa della Riforma del Terzo settore.</w:t>
      </w:r>
    </w:p>
    <w:p w:rsidR="00D811FE" w:rsidRP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</w:p>
    <w:p w:rsid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 w:rsidRPr="00D811FE">
        <w:rPr>
          <w:rFonts w:ascii="Arial" w:hAnsi="Arial" w:cs="Arial"/>
          <w:sz w:val="24"/>
          <w:szCs w:val="24"/>
        </w:rPr>
        <w:t xml:space="preserve">Le Norme rappresentano </w:t>
      </w:r>
      <w:r w:rsidRPr="00D811FE">
        <w:rPr>
          <w:rFonts w:ascii="Arial" w:hAnsi="Arial" w:cs="Arial"/>
          <w:b/>
          <w:bCs/>
          <w:sz w:val="24"/>
          <w:szCs w:val="24"/>
        </w:rPr>
        <w:t xml:space="preserve">principi deontologici </w:t>
      </w:r>
      <w:r w:rsidRPr="00D811FE">
        <w:rPr>
          <w:rFonts w:ascii="Arial" w:hAnsi="Arial" w:cs="Arial"/>
          <w:sz w:val="24"/>
          <w:szCs w:val="24"/>
        </w:rPr>
        <w:t xml:space="preserve">applicabili agli iscritti all’Albo dei dottori commercialisti e degli esperti contabili. L’auspicio, tuttavia, è che le indicazioni fornite possano divenire </w:t>
      </w:r>
      <w:r w:rsidRPr="00D811FE">
        <w:rPr>
          <w:rFonts w:ascii="Arial" w:hAnsi="Arial" w:cs="Arial"/>
          <w:b/>
          <w:bCs/>
          <w:sz w:val="24"/>
          <w:szCs w:val="24"/>
        </w:rPr>
        <w:t>generalmente riconosciute</w:t>
      </w:r>
      <w:r w:rsidRPr="00D811FE">
        <w:rPr>
          <w:rFonts w:ascii="Arial" w:hAnsi="Arial" w:cs="Arial"/>
          <w:sz w:val="24"/>
          <w:szCs w:val="24"/>
        </w:rPr>
        <w:t xml:space="preserve"> a livello di settore ed essere fatte proprie anche dai componenti degli organi di controllo </w:t>
      </w:r>
      <w:r w:rsidRPr="00D811FE">
        <w:rPr>
          <w:rFonts w:ascii="Arial" w:hAnsi="Arial" w:cs="Arial"/>
          <w:b/>
          <w:bCs/>
          <w:sz w:val="24"/>
          <w:szCs w:val="24"/>
        </w:rPr>
        <w:t>non iscritti</w:t>
      </w:r>
      <w:r w:rsidRPr="00D811FE">
        <w:rPr>
          <w:rFonts w:ascii="Arial" w:hAnsi="Arial" w:cs="Arial"/>
          <w:sz w:val="24"/>
          <w:szCs w:val="24"/>
        </w:rPr>
        <w:t xml:space="preserve"> nel </w:t>
      </w:r>
      <w:proofErr w:type="gramStart"/>
      <w:r w:rsidRPr="00D811FE">
        <w:rPr>
          <w:rFonts w:ascii="Arial" w:hAnsi="Arial" w:cs="Arial"/>
          <w:sz w:val="24"/>
          <w:szCs w:val="24"/>
        </w:rPr>
        <w:t>predetto</w:t>
      </w:r>
      <w:proofErr w:type="gramEnd"/>
      <w:r w:rsidRPr="00D811FE">
        <w:rPr>
          <w:rFonts w:ascii="Arial" w:hAnsi="Arial" w:cs="Arial"/>
          <w:sz w:val="24"/>
          <w:szCs w:val="24"/>
        </w:rPr>
        <w:t xml:space="preserve"> Albo.</w:t>
      </w:r>
    </w:p>
    <w:p w:rsidR="00D811FE" w:rsidRP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</w:p>
    <w:p w:rsid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D811FE">
        <w:rPr>
          <w:rFonts w:ascii="Arial" w:hAnsi="Arial" w:cs="Arial"/>
          <w:sz w:val="24"/>
          <w:szCs w:val="24"/>
        </w:rPr>
        <w:t xml:space="preserve"> Riforma del Terzo settore attribuisce ai professionisti un importante </w:t>
      </w:r>
      <w:r w:rsidRPr="00D811FE">
        <w:rPr>
          <w:rFonts w:ascii="Arial" w:hAnsi="Arial" w:cs="Arial"/>
          <w:b/>
          <w:bCs/>
          <w:sz w:val="24"/>
          <w:szCs w:val="24"/>
        </w:rPr>
        <w:t>ruolo</w:t>
      </w:r>
      <w:r w:rsidRPr="00D811FE">
        <w:rPr>
          <w:rFonts w:ascii="Arial" w:hAnsi="Arial" w:cs="Arial"/>
          <w:sz w:val="24"/>
          <w:szCs w:val="24"/>
        </w:rPr>
        <w:t xml:space="preserve"> anche nell’ambito del </w:t>
      </w:r>
      <w:r w:rsidRPr="00D811FE">
        <w:rPr>
          <w:rFonts w:ascii="Arial" w:hAnsi="Arial" w:cs="Arial"/>
          <w:b/>
          <w:bCs/>
          <w:sz w:val="24"/>
          <w:szCs w:val="24"/>
        </w:rPr>
        <w:t>controllo</w:t>
      </w:r>
      <w:r w:rsidRPr="00D811FE">
        <w:rPr>
          <w:rFonts w:ascii="Arial" w:hAnsi="Arial" w:cs="Arial"/>
          <w:sz w:val="24"/>
          <w:szCs w:val="24"/>
        </w:rPr>
        <w:t xml:space="preserve"> degli enti del Terzo settore. Tutte le fondazioni ETS e gli ETS in cui sono stati costituiti patrimoni destinati (articolo 10 del CTS) così come le associazioni ETS che superano i parametri di cui all’articolo 30 del </w:t>
      </w:r>
      <w:proofErr w:type="spellStart"/>
      <w:r w:rsidRPr="00D811FE">
        <w:rPr>
          <w:rFonts w:ascii="Arial" w:hAnsi="Arial" w:cs="Arial"/>
          <w:sz w:val="24"/>
          <w:szCs w:val="24"/>
        </w:rPr>
        <w:t>D.Lgs</w:t>
      </w:r>
      <w:proofErr w:type="spellEnd"/>
      <w:r w:rsidRPr="00D811FE">
        <w:rPr>
          <w:rFonts w:ascii="Arial" w:hAnsi="Arial" w:cs="Arial"/>
          <w:sz w:val="24"/>
          <w:szCs w:val="24"/>
        </w:rPr>
        <w:t xml:space="preserve"> n. 117 del 2017 sono tenuti, infatti, a dotarsi di un organo (monocratico o collegiale) di controllo. Il componente dell’organo monocratico e almeno un componente negli organi pluripersonali devono appartenere ad una delle categorie di cui all’art. 2397 del </w:t>
      </w:r>
      <w:proofErr w:type="gramStart"/>
      <w:r w:rsidRPr="00D811FE">
        <w:rPr>
          <w:rFonts w:ascii="Arial" w:hAnsi="Arial" w:cs="Arial"/>
          <w:sz w:val="24"/>
          <w:szCs w:val="24"/>
        </w:rPr>
        <w:t>codice civile</w:t>
      </w:r>
      <w:proofErr w:type="gramEnd"/>
      <w:r w:rsidRPr="00D811FE">
        <w:rPr>
          <w:rFonts w:ascii="Arial" w:hAnsi="Arial" w:cs="Arial"/>
          <w:sz w:val="24"/>
          <w:szCs w:val="24"/>
        </w:rPr>
        <w:t xml:space="preserve">. Anche tutte le imprese sociali sono tenute a nominare un organo di controllo interno. Tuttavia, il Consiglio nazionale ha optato per emanare con questo documento le norme di comportamento riservate agli ETS diversi dalle imprese sociali. Le </w:t>
      </w:r>
      <w:r w:rsidRPr="001562B1">
        <w:rPr>
          <w:rFonts w:ascii="Arial" w:hAnsi="Arial" w:cs="Arial"/>
          <w:b/>
          <w:bCs/>
          <w:sz w:val="24"/>
          <w:szCs w:val="24"/>
        </w:rPr>
        <w:t xml:space="preserve">peculiarità </w:t>
      </w:r>
      <w:r w:rsidRPr="00D811FE">
        <w:rPr>
          <w:rFonts w:ascii="Arial" w:hAnsi="Arial" w:cs="Arial"/>
          <w:sz w:val="24"/>
          <w:szCs w:val="24"/>
        </w:rPr>
        <w:t xml:space="preserve">dei controlli nelle imprese sociali, disciplinate peraltro da uno altro disposto normativo (il </w:t>
      </w:r>
      <w:proofErr w:type="spellStart"/>
      <w:r w:rsidRPr="00D811FE">
        <w:rPr>
          <w:rFonts w:ascii="Arial" w:hAnsi="Arial" w:cs="Arial"/>
          <w:sz w:val="24"/>
          <w:szCs w:val="24"/>
        </w:rPr>
        <w:t>D.Lgs.</w:t>
      </w:r>
      <w:proofErr w:type="spellEnd"/>
      <w:r w:rsidRPr="00D811FE">
        <w:rPr>
          <w:rFonts w:ascii="Arial" w:hAnsi="Arial" w:cs="Arial"/>
          <w:sz w:val="24"/>
          <w:szCs w:val="24"/>
        </w:rPr>
        <w:t xml:space="preserve"> n. 112 del 2017), sono, infatti, tali da richiedere un </w:t>
      </w:r>
      <w:r w:rsidRPr="001562B1">
        <w:rPr>
          <w:rFonts w:ascii="Arial" w:hAnsi="Arial" w:cs="Arial"/>
          <w:b/>
          <w:bCs/>
          <w:sz w:val="24"/>
          <w:szCs w:val="24"/>
        </w:rPr>
        <w:t>elaborato specifico</w:t>
      </w:r>
      <w:r w:rsidRPr="00D811FE">
        <w:rPr>
          <w:rFonts w:ascii="Arial" w:hAnsi="Arial" w:cs="Arial"/>
          <w:sz w:val="24"/>
          <w:szCs w:val="24"/>
        </w:rPr>
        <w:t xml:space="preserve">, che sarà oggetto di un </w:t>
      </w:r>
      <w:r w:rsidRPr="00F87561">
        <w:rPr>
          <w:rFonts w:ascii="Arial" w:hAnsi="Arial" w:cs="Arial"/>
          <w:b/>
          <w:bCs/>
          <w:sz w:val="24"/>
          <w:szCs w:val="24"/>
        </w:rPr>
        <w:t>futuro lavoro</w:t>
      </w:r>
      <w:r w:rsidRPr="00D811FE">
        <w:rPr>
          <w:rFonts w:ascii="Arial" w:hAnsi="Arial" w:cs="Arial"/>
          <w:sz w:val="24"/>
          <w:szCs w:val="24"/>
        </w:rPr>
        <w:t>.</w:t>
      </w:r>
    </w:p>
    <w:p w:rsidR="00D811FE" w:rsidRP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 w:rsidRPr="00D811FE">
        <w:rPr>
          <w:rFonts w:ascii="Arial" w:hAnsi="Arial" w:cs="Arial"/>
          <w:sz w:val="24"/>
          <w:szCs w:val="24"/>
        </w:rPr>
        <w:t xml:space="preserve"> </w:t>
      </w:r>
    </w:p>
    <w:p w:rsid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811FE">
        <w:rPr>
          <w:rFonts w:ascii="Arial" w:hAnsi="Arial" w:cs="Arial"/>
          <w:sz w:val="24"/>
          <w:szCs w:val="24"/>
        </w:rPr>
        <w:t xml:space="preserve">Le Norme </w:t>
      </w:r>
      <w:r>
        <w:rPr>
          <w:rFonts w:ascii="Arial" w:hAnsi="Arial" w:cs="Arial"/>
          <w:sz w:val="24"/>
          <w:szCs w:val="24"/>
        </w:rPr>
        <w:t>– spiega il presidente del Consiglio nazionale della categoria,</w:t>
      </w:r>
      <w:r w:rsidRPr="00D811FE">
        <w:rPr>
          <w:rFonts w:ascii="Arial" w:hAnsi="Arial" w:cs="Arial"/>
          <w:b/>
          <w:bCs/>
          <w:sz w:val="24"/>
          <w:szCs w:val="24"/>
        </w:rPr>
        <w:t xml:space="preserve"> Massimo Miani</w:t>
      </w:r>
      <w:r>
        <w:rPr>
          <w:rFonts w:ascii="Arial" w:hAnsi="Arial" w:cs="Arial"/>
          <w:sz w:val="24"/>
          <w:szCs w:val="24"/>
        </w:rPr>
        <w:t xml:space="preserve"> -</w:t>
      </w:r>
      <w:r w:rsidRPr="00D811FE">
        <w:rPr>
          <w:rFonts w:ascii="Arial" w:hAnsi="Arial" w:cs="Arial"/>
          <w:sz w:val="24"/>
          <w:szCs w:val="24"/>
        </w:rPr>
        <w:t>sono pensate per l’organo di controllo che non svolge l’attività di revisione legale ai sensi dell’articolo 31 del Codice del Terzo settore.</w:t>
      </w:r>
      <w:r>
        <w:rPr>
          <w:rFonts w:ascii="Arial" w:hAnsi="Arial" w:cs="Arial"/>
          <w:sz w:val="24"/>
          <w:szCs w:val="24"/>
        </w:rPr>
        <w:t xml:space="preserve"> </w:t>
      </w:r>
      <w:r w:rsidRPr="00D811FE">
        <w:rPr>
          <w:rFonts w:ascii="Arial" w:hAnsi="Arial" w:cs="Arial"/>
          <w:sz w:val="24"/>
          <w:szCs w:val="24"/>
        </w:rPr>
        <w:t xml:space="preserve">La definizione dell’attività di controllo offerta dalle Norme di comportamento è </w:t>
      </w:r>
      <w:r w:rsidRPr="001562B1">
        <w:rPr>
          <w:rFonts w:ascii="Arial" w:hAnsi="Arial" w:cs="Arial"/>
          <w:b/>
          <w:bCs/>
          <w:sz w:val="24"/>
          <w:szCs w:val="24"/>
        </w:rPr>
        <w:t>un’operazione sistematica</w:t>
      </w:r>
      <w:r w:rsidRPr="00D811FE">
        <w:rPr>
          <w:rFonts w:ascii="Arial" w:hAnsi="Arial" w:cs="Arial"/>
          <w:sz w:val="24"/>
          <w:szCs w:val="24"/>
        </w:rPr>
        <w:t xml:space="preserve"> di illustrazione del </w:t>
      </w:r>
      <w:r w:rsidRPr="00F87561">
        <w:rPr>
          <w:rFonts w:ascii="Arial" w:hAnsi="Arial" w:cs="Arial"/>
          <w:b/>
          <w:bCs/>
          <w:i/>
          <w:iCs/>
          <w:sz w:val="24"/>
          <w:szCs w:val="24"/>
        </w:rPr>
        <w:t xml:space="preserve">modus </w:t>
      </w:r>
      <w:r w:rsidRPr="00F8756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operandi</w:t>
      </w:r>
      <w:r w:rsidRPr="00D811FE">
        <w:rPr>
          <w:rFonts w:ascii="Arial" w:hAnsi="Arial" w:cs="Arial"/>
          <w:sz w:val="24"/>
          <w:szCs w:val="24"/>
        </w:rPr>
        <w:t xml:space="preserve"> che l’organo di controllo dovrebbe tenere per eseguire in modo razionale ed efficace la vigilanza sugli ETS, alla luce anche delle prassi professionali consolidate del collegio sindacale delle </w:t>
      </w:r>
      <w:r w:rsidRPr="001562B1">
        <w:rPr>
          <w:rFonts w:ascii="Arial" w:hAnsi="Arial" w:cs="Arial"/>
          <w:b/>
          <w:bCs/>
          <w:sz w:val="24"/>
          <w:szCs w:val="24"/>
        </w:rPr>
        <w:t>società non quotate</w:t>
      </w:r>
      <w:r w:rsidRPr="00D811FE">
        <w:rPr>
          <w:rFonts w:ascii="Arial" w:hAnsi="Arial" w:cs="Arial"/>
          <w:sz w:val="24"/>
          <w:szCs w:val="24"/>
        </w:rPr>
        <w:t>, che sono state prese come punto di partenza e opportunamente adattate alle realtà di riferimento</w:t>
      </w:r>
      <w:r>
        <w:rPr>
          <w:rFonts w:ascii="Arial" w:hAnsi="Arial" w:cs="Arial"/>
          <w:sz w:val="24"/>
          <w:szCs w:val="24"/>
        </w:rPr>
        <w:t>”</w:t>
      </w:r>
      <w:r w:rsidRPr="00D811FE">
        <w:rPr>
          <w:rFonts w:ascii="Arial" w:hAnsi="Arial" w:cs="Arial"/>
          <w:sz w:val="24"/>
          <w:szCs w:val="24"/>
        </w:rPr>
        <w:t>.</w:t>
      </w:r>
    </w:p>
    <w:p w:rsidR="00F87561" w:rsidRPr="00D811FE" w:rsidRDefault="00F87561" w:rsidP="00D811FE">
      <w:pPr>
        <w:jc w:val="both"/>
        <w:rPr>
          <w:rFonts w:ascii="Arial" w:hAnsi="Arial" w:cs="Arial"/>
          <w:sz w:val="24"/>
          <w:szCs w:val="24"/>
        </w:rPr>
      </w:pPr>
    </w:p>
    <w:p w:rsidR="00D811FE" w:rsidRPr="00D811FE" w:rsidRDefault="00D811FE" w:rsidP="00D81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811FE">
        <w:rPr>
          <w:rFonts w:ascii="Arial" w:hAnsi="Arial" w:cs="Arial"/>
          <w:sz w:val="24"/>
          <w:szCs w:val="24"/>
        </w:rPr>
        <w:t xml:space="preserve">In questa prospettiva </w:t>
      </w:r>
      <w:r>
        <w:rPr>
          <w:rFonts w:ascii="Arial" w:hAnsi="Arial" w:cs="Arial"/>
          <w:sz w:val="24"/>
          <w:szCs w:val="24"/>
        </w:rPr>
        <w:t xml:space="preserve">– aggiunge il Consigliere nazionale delegato alla materia, </w:t>
      </w:r>
      <w:r w:rsidRPr="00D811FE">
        <w:rPr>
          <w:rFonts w:ascii="Arial" w:hAnsi="Arial" w:cs="Arial"/>
          <w:b/>
          <w:bCs/>
          <w:sz w:val="24"/>
          <w:szCs w:val="24"/>
        </w:rPr>
        <w:t>Maurizio Postal</w:t>
      </w:r>
      <w:r>
        <w:rPr>
          <w:rFonts w:ascii="Arial" w:hAnsi="Arial" w:cs="Arial"/>
          <w:sz w:val="24"/>
          <w:szCs w:val="24"/>
        </w:rPr>
        <w:t xml:space="preserve"> - </w:t>
      </w:r>
      <w:r w:rsidRPr="00D811FE">
        <w:rPr>
          <w:rFonts w:ascii="Arial" w:hAnsi="Arial" w:cs="Arial"/>
          <w:sz w:val="24"/>
          <w:szCs w:val="24"/>
        </w:rPr>
        <w:t xml:space="preserve">le Norme di comportamento forniscono indicazioni su aspetti cruciali per lo svolgimento degli incarichi a partire dalla </w:t>
      </w:r>
      <w:r w:rsidRPr="00F87561">
        <w:rPr>
          <w:rFonts w:ascii="Arial" w:hAnsi="Arial" w:cs="Arial"/>
          <w:sz w:val="24"/>
          <w:szCs w:val="24"/>
        </w:rPr>
        <w:t>nomina</w:t>
      </w:r>
      <w:r w:rsidRPr="00D811FE">
        <w:rPr>
          <w:rFonts w:ascii="Arial" w:hAnsi="Arial" w:cs="Arial"/>
          <w:sz w:val="24"/>
          <w:szCs w:val="24"/>
        </w:rPr>
        <w:t xml:space="preserve">, per arrivare </w:t>
      </w:r>
      <w:r w:rsidRPr="00F87561">
        <w:rPr>
          <w:rFonts w:ascii="Arial" w:hAnsi="Arial" w:cs="Arial"/>
          <w:sz w:val="24"/>
          <w:szCs w:val="24"/>
        </w:rPr>
        <w:t>al funzionamento</w:t>
      </w:r>
      <w:r w:rsidRPr="00D811FE">
        <w:rPr>
          <w:rFonts w:ascii="Arial" w:hAnsi="Arial" w:cs="Arial"/>
          <w:sz w:val="24"/>
          <w:szCs w:val="24"/>
        </w:rPr>
        <w:t xml:space="preserve">, al rapporto con gli altri organi dell’ente e alla stesura della </w:t>
      </w:r>
      <w:r w:rsidRPr="00F87561">
        <w:rPr>
          <w:rFonts w:ascii="Arial" w:hAnsi="Arial" w:cs="Arial"/>
          <w:b/>
          <w:bCs/>
          <w:sz w:val="24"/>
          <w:szCs w:val="24"/>
        </w:rPr>
        <w:t>relazione annuale</w:t>
      </w:r>
      <w:r w:rsidRPr="00D811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811FE">
        <w:rPr>
          <w:rFonts w:ascii="Arial" w:hAnsi="Arial" w:cs="Arial"/>
          <w:sz w:val="24"/>
          <w:szCs w:val="24"/>
        </w:rPr>
        <w:t xml:space="preserve">È importante evidenziare che il documento contiene previsioni di </w:t>
      </w:r>
      <w:r w:rsidRPr="00F87561">
        <w:rPr>
          <w:rFonts w:ascii="Arial" w:hAnsi="Arial" w:cs="Arial"/>
          <w:b/>
          <w:bCs/>
          <w:sz w:val="24"/>
          <w:szCs w:val="24"/>
        </w:rPr>
        <w:t>carattere generale</w:t>
      </w:r>
      <w:r w:rsidRPr="00D811FE">
        <w:rPr>
          <w:rFonts w:ascii="Arial" w:hAnsi="Arial" w:cs="Arial"/>
          <w:sz w:val="24"/>
          <w:szCs w:val="24"/>
        </w:rPr>
        <w:t xml:space="preserve"> non tagliate su misura di alcuno specifico ETS. Per tale motivo le Norme nella concreta loro applicazione dovranno essere </w:t>
      </w:r>
      <w:r w:rsidRPr="00F87561">
        <w:rPr>
          <w:rFonts w:ascii="Arial" w:hAnsi="Arial" w:cs="Arial"/>
          <w:b/>
          <w:bCs/>
          <w:sz w:val="24"/>
          <w:szCs w:val="24"/>
        </w:rPr>
        <w:t>adattate</w:t>
      </w:r>
      <w:r w:rsidRPr="00D811FE">
        <w:rPr>
          <w:rFonts w:ascii="Arial" w:hAnsi="Arial" w:cs="Arial"/>
          <w:sz w:val="24"/>
          <w:szCs w:val="24"/>
        </w:rPr>
        <w:t xml:space="preserve"> alla realtà specifica di riferimento, tenendo in considerazione la </w:t>
      </w:r>
      <w:r w:rsidRPr="00F87561">
        <w:rPr>
          <w:rFonts w:ascii="Arial" w:hAnsi="Arial" w:cs="Arial"/>
          <w:b/>
          <w:bCs/>
          <w:sz w:val="24"/>
          <w:szCs w:val="24"/>
        </w:rPr>
        <w:t>dimensione economica</w:t>
      </w:r>
      <w:r w:rsidRPr="00D811FE">
        <w:rPr>
          <w:rFonts w:ascii="Arial" w:hAnsi="Arial" w:cs="Arial"/>
          <w:sz w:val="24"/>
          <w:szCs w:val="24"/>
        </w:rPr>
        <w:t xml:space="preserve"> dell’ente, la </w:t>
      </w:r>
      <w:r w:rsidRPr="00F87561">
        <w:rPr>
          <w:rFonts w:ascii="Arial" w:hAnsi="Arial" w:cs="Arial"/>
          <w:b/>
          <w:bCs/>
          <w:sz w:val="24"/>
          <w:szCs w:val="24"/>
        </w:rPr>
        <w:t>complessità</w:t>
      </w:r>
      <w:r w:rsidRPr="00D811FE">
        <w:rPr>
          <w:rFonts w:ascii="Arial" w:hAnsi="Arial" w:cs="Arial"/>
          <w:sz w:val="24"/>
          <w:szCs w:val="24"/>
        </w:rPr>
        <w:t xml:space="preserve"> delle attività </w:t>
      </w:r>
      <w:proofErr w:type="gramStart"/>
      <w:r w:rsidRPr="00D811FE">
        <w:rPr>
          <w:rFonts w:ascii="Arial" w:hAnsi="Arial" w:cs="Arial"/>
          <w:sz w:val="24"/>
          <w:szCs w:val="24"/>
        </w:rPr>
        <w:t>poste in essere</w:t>
      </w:r>
      <w:proofErr w:type="gramEnd"/>
      <w:r w:rsidRPr="00D811FE">
        <w:rPr>
          <w:rFonts w:ascii="Arial" w:hAnsi="Arial" w:cs="Arial"/>
          <w:sz w:val="24"/>
          <w:szCs w:val="24"/>
        </w:rPr>
        <w:t xml:space="preserve">, nonché i </w:t>
      </w:r>
      <w:r w:rsidRPr="00F87561">
        <w:rPr>
          <w:rFonts w:ascii="Arial" w:hAnsi="Arial" w:cs="Arial"/>
          <w:b/>
          <w:bCs/>
          <w:sz w:val="24"/>
          <w:szCs w:val="24"/>
        </w:rPr>
        <w:t>rischi</w:t>
      </w:r>
      <w:r w:rsidRPr="00D811FE">
        <w:rPr>
          <w:rFonts w:ascii="Arial" w:hAnsi="Arial" w:cs="Arial"/>
          <w:sz w:val="24"/>
          <w:szCs w:val="24"/>
        </w:rPr>
        <w:t xml:space="preserve"> esistenti</w:t>
      </w:r>
      <w:r>
        <w:rPr>
          <w:rFonts w:ascii="Arial" w:hAnsi="Arial" w:cs="Arial"/>
          <w:sz w:val="24"/>
          <w:szCs w:val="24"/>
        </w:rPr>
        <w:t>”</w:t>
      </w:r>
      <w:r w:rsidRPr="00D811FE">
        <w:rPr>
          <w:rFonts w:ascii="Arial" w:hAnsi="Arial" w:cs="Arial"/>
          <w:sz w:val="24"/>
          <w:szCs w:val="24"/>
        </w:rPr>
        <w:t>.</w:t>
      </w:r>
    </w:p>
    <w:bookmarkEnd w:id="3"/>
    <w:bookmarkEnd w:id="4"/>
    <w:p w:rsidR="00393491" w:rsidRPr="00D811FE" w:rsidRDefault="00393491" w:rsidP="00D811FE">
      <w:pPr>
        <w:jc w:val="both"/>
        <w:rPr>
          <w:rFonts w:ascii="Arial" w:hAnsi="Arial" w:cs="Arial"/>
          <w:sz w:val="24"/>
          <w:szCs w:val="24"/>
        </w:rPr>
      </w:pPr>
    </w:p>
    <w:sectPr w:rsidR="00393491" w:rsidRPr="00D811F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46" w:rsidRDefault="00BB2046" w:rsidP="0078332C">
      <w:r>
        <w:separator/>
      </w:r>
    </w:p>
  </w:endnote>
  <w:endnote w:type="continuationSeparator" w:id="0">
    <w:p w:rsidR="00BB2046" w:rsidRDefault="00BB204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46" w:rsidRDefault="00BB2046" w:rsidP="0078332C">
      <w:r>
        <w:separator/>
      </w:r>
    </w:p>
  </w:footnote>
  <w:footnote w:type="continuationSeparator" w:id="0">
    <w:p w:rsidR="00BB2046" w:rsidRDefault="00BB204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063A7"/>
    <w:rsid w:val="00117671"/>
    <w:rsid w:val="00121C2D"/>
    <w:rsid w:val="00123B69"/>
    <w:rsid w:val="00142E95"/>
    <w:rsid w:val="001562B1"/>
    <w:rsid w:val="001640CB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13D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702A"/>
    <w:rsid w:val="002F290A"/>
    <w:rsid w:val="002F3E9E"/>
    <w:rsid w:val="002F4704"/>
    <w:rsid w:val="002F6036"/>
    <w:rsid w:val="00302C6A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3491"/>
    <w:rsid w:val="00394415"/>
    <w:rsid w:val="003961B8"/>
    <w:rsid w:val="00397281"/>
    <w:rsid w:val="003A03BB"/>
    <w:rsid w:val="003B000F"/>
    <w:rsid w:val="003B24D0"/>
    <w:rsid w:val="003B7329"/>
    <w:rsid w:val="003B7923"/>
    <w:rsid w:val="003C1AD8"/>
    <w:rsid w:val="003C2495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627E0"/>
    <w:rsid w:val="004628DC"/>
    <w:rsid w:val="0047270A"/>
    <w:rsid w:val="00472F6D"/>
    <w:rsid w:val="00476C15"/>
    <w:rsid w:val="0048454A"/>
    <w:rsid w:val="00485F00"/>
    <w:rsid w:val="004875FA"/>
    <w:rsid w:val="00493DC9"/>
    <w:rsid w:val="004A44B8"/>
    <w:rsid w:val="004A6888"/>
    <w:rsid w:val="004B0DD1"/>
    <w:rsid w:val="004B2695"/>
    <w:rsid w:val="004F1170"/>
    <w:rsid w:val="004F4736"/>
    <w:rsid w:val="004F56A8"/>
    <w:rsid w:val="004F7362"/>
    <w:rsid w:val="00500E13"/>
    <w:rsid w:val="00501129"/>
    <w:rsid w:val="00505AE2"/>
    <w:rsid w:val="00511C1B"/>
    <w:rsid w:val="005122BE"/>
    <w:rsid w:val="00513967"/>
    <w:rsid w:val="00531523"/>
    <w:rsid w:val="00536016"/>
    <w:rsid w:val="005360D3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95CEF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6F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85C6C"/>
    <w:rsid w:val="006A0D3B"/>
    <w:rsid w:val="006A4451"/>
    <w:rsid w:val="006C3945"/>
    <w:rsid w:val="006C6818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949D8"/>
    <w:rsid w:val="007C14B1"/>
    <w:rsid w:val="007C3A93"/>
    <w:rsid w:val="007C56C5"/>
    <w:rsid w:val="007C5CCD"/>
    <w:rsid w:val="007E44E2"/>
    <w:rsid w:val="00801862"/>
    <w:rsid w:val="0080283B"/>
    <w:rsid w:val="0080797B"/>
    <w:rsid w:val="0081381B"/>
    <w:rsid w:val="00813FF6"/>
    <w:rsid w:val="00831294"/>
    <w:rsid w:val="00832BE3"/>
    <w:rsid w:val="00851572"/>
    <w:rsid w:val="00855840"/>
    <w:rsid w:val="00863104"/>
    <w:rsid w:val="0087487D"/>
    <w:rsid w:val="00886628"/>
    <w:rsid w:val="00892238"/>
    <w:rsid w:val="00892C1F"/>
    <w:rsid w:val="00893AB6"/>
    <w:rsid w:val="00896434"/>
    <w:rsid w:val="00897D6B"/>
    <w:rsid w:val="008B3BB7"/>
    <w:rsid w:val="008C5ED3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7646E"/>
    <w:rsid w:val="00980E02"/>
    <w:rsid w:val="009813D9"/>
    <w:rsid w:val="0098256D"/>
    <w:rsid w:val="00986756"/>
    <w:rsid w:val="00987ED2"/>
    <w:rsid w:val="00993E86"/>
    <w:rsid w:val="009965B6"/>
    <w:rsid w:val="009A1934"/>
    <w:rsid w:val="009A33C1"/>
    <w:rsid w:val="009A6340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645C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2040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046"/>
    <w:rsid w:val="00BB2E5B"/>
    <w:rsid w:val="00BB7EE6"/>
    <w:rsid w:val="00BC5E35"/>
    <w:rsid w:val="00BD0510"/>
    <w:rsid w:val="00BD2206"/>
    <w:rsid w:val="00BD6259"/>
    <w:rsid w:val="00BF37E8"/>
    <w:rsid w:val="00BF3A80"/>
    <w:rsid w:val="00C07BD1"/>
    <w:rsid w:val="00C302BD"/>
    <w:rsid w:val="00C30E85"/>
    <w:rsid w:val="00C33494"/>
    <w:rsid w:val="00C342D6"/>
    <w:rsid w:val="00C418FB"/>
    <w:rsid w:val="00C51F27"/>
    <w:rsid w:val="00C53851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811FE"/>
    <w:rsid w:val="00D92E6B"/>
    <w:rsid w:val="00DA27BF"/>
    <w:rsid w:val="00DA7914"/>
    <w:rsid w:val="00DB6F21"/>
    <w:rsid w:val="00DC2C88"/>
    <w:rsid w:val="00DD07C2"/>
    <w:rsid w:val="00DD42C0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0052"/>
    <w:rsid w:val="00E9455A"/>
    <w:rsid w:val="00E9545A"/>
    <w:rsid w:val="00EA25EF"/>
    <w:rsid w:val="00EA5CE8"/>
    <w:rsid w:val="00EB7E70"/>
    <w:rsid w:val="00EC10C4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25486"/>
    <w:rsid w:val="00F45D3A"/>
    <w:rsid w:val="00F53A8A"/>
    <w:rsid w:val="00F547BE"/>
    <w:rsid w:val="00F61CBC"/>
    <w:rsid w:val="00F67F0B"/>
    <w:rsid w:val="00F7125B"/>
    <w:rsid w:val="00F8058C"/>
    <w:rsid w:val="00F8394A"/>
    <w:rsid w:val="00F872DE"/>
    <w:rsid w:val="00F87561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50255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styleId="Nessunaspaziatura">
    <w:name w:val="No Spacing"/>
    <w:basedOn w:val="Normale"/>
    <w:uiPriority w:val="1"/>
    <w:qFormat/>
    <w:rsid w:val="00E9455A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eOCETS@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FE3-527E-47FA-B6A2-C636A2B4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2020-03-04T15:25:00Z</cp:lastPrinted>
  <dcterms:created xsi:type="dcterms:W3CDTF">2020-03-05T11:47:00Z</dcterms:created>
  <dcterms:modified xsi:type="dcterms:W3CDTF">2020-03-06T08:59:00Z</dcterms:modified>
</cp:coreProperties>
</file>