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03EF5" w14:textId="77777777" w:rsidR="00604C0A" w:rsidRDefault="00604C0A" w:rsidP="00604C0A">
      <w:pPr>
        <w:suppressAutoHyphens/>
        <w:autoSpaceDN w:val="0"/>
        <w:spacing w:after="0" w:line="240" w:lineRule="auto"/>
        <w:ind w:left="-142"/>
        <w:jc w:val="center"/>
        <w:textAlignment w:val="baseline"/>
        <w:rPr>
          <w:rFonts w:ascii="Arial" w:eastAsia="Times New Roman" w:hAnsi="Arial" w:cs="Arial"/>
          <w:b/>
          <w:bCs/>
          <w:sz w:val="24"/>
          <w:szCs w:val="24"/>
        </w:rPr>
      </w:pPr>
    </w:p>
    <w:p w14:paraId="07B79389" w14:textId="77777777" w:rsidR="00604C0A" w:rsidRDefault="00604C0A" w:rsidP="00604C0A">
      <w:pPr>
        <w:suppressAutoHyphens/>
        <w:autoSpaceDN w:val="0"/>
        <w:spacing w:after="0" w:line="240" w:lineRule="auto"/>
        <w:ind w:left="-142"/>
        <w:jc w:val="center"/>
        <w:textAlignment w:val="baseline"/>
        <w:rPr>
          <w:rFonts w:ascii="Arial" w:eastAsia="Times New Roman" w:hAnsi="Arial" w:cs="Arial"/>
          <w:b/>
          <w:bCs/>
          <w:sz w:val="24"/>
          <w:szCs w:val="24"/>
        </w:rPr>
      </w:pPr>
    </w:p>
    <w:p w14:paraId="3B20AA8E" w14:textId="017BDC1A" w:rsidR="00604C0A" w:rsidRPr="00604C0A" w:rsidRDefault="00604C0A" w:rsidP="00604C0A">
      <w:pPr>
        <w:suppressAutoHyphens/>
        <w:autoSpaceDN w:val="0"/>
        <w:spacing w:after="0" w:line="240" w:lineRule="auto"/>
        <w:ind w:left="-142"/>
        <w:jc w:val="center"/>
        <w:textAlignment w:val="baseline"/>
        <w:rPr>
          <w:rFonts w:ascii="Arial" w:eastAsia="Times New Roman" w:hAnsi="Arial" w:cs="Arial"/>
          <w:b/>
          <w:bCs/>
          <w:sz w:val="24"/>
          <w:szCs w:val="24"/>
          <w:u w:val="single"/>
        </w:rPr>
      </w:pPr>
      <w:r w:rsidRPr="00604C0A">
        <w:rPr>
          <w:rFonts w:ascii="Arial" w:eastAsia="Times New Roman" w:hAnsi="Arial" w:cs="Arial"/>
          <w:b/>
          <w:bCs/>
          <w:sz w:val="24"/>
          <w:szCs w:val="24"/>
          <w:u w:val="single"/>
        </w:rPr>
        <w:t>COMUNICATO STAMPA</w:t>
      </w:r>
    </w:p>
    <w:p w14:paraId="00C0A2DA" w14:textId="793428C8" w:rsidR="00604C0A" w:rsidRDefault="00604C0A" w:rsidP="00604C0A">
      <w:pPr>
        <w:suppressAutoHyphens/>
        <w:autoSpaceDN w:val="0"/>
        <w:spacing w:after="0" w:line="240" w:lineRule="auto"/>
        <w:ind w:left="-142"/>
        <w:jc w:val="center"/>
        <w:textAlignment w:val="baseline"/>
        <w:rPr>
          <w:rFonts w:ascii="Arial" w:eastAsia="Times New Roman" w:hAnsi="Arial" w:cs="Arial"/>
          <w:b/>
          <w:bCs/>
          <w:sz w:val="24"/>
          <w:szCs w:val="24"/>
        </w:rPr>
      </w:pPr>
    </w:p>
    <w:p w14:paraId="62B8F16A" w14:textId="27AF920C" w:rsidR="00604C0A" w:rsidRDefault="00604C0A" w:rsidP="00604C0A">
      <w:pPr>
        <w:shd w:val="clear" w:color="auto" w:fill="FFFFFF"/>
        <w:spacing w:after="0" w:line="240" w:lineRule="auto"/>
        <w:jc w:val="center"/>
        <w:rPr>
          <w:rFonts w:ascii="Arial" w:eastAsia="Calibri" w:hAnsi="Arial" w:cs="Arial"/>
          <w:b/>
          <w:bCs/>
          <w:color w:val="000000"/>
          <w:sz w:val="24"/>
          <w:szCs w:val="24"/>
          <w:lang w:eastAsia="it-IT"/>
        </w:rPr>
      </w:pPr>
      <w:r w:rsidRPr="00604C0A">
        <w:rPr>
          <w:rFonts w:ascii="Arial" w:eastAsia="Calibri" w:hAnsi="Arial" w:cs="Arial"/>
          <w:b/>
          <w:bCs/>
          <w:color w:val="000000"/>
          <w:sz w:val="24"/>
          <w:szCs w:val="24"/>
          <w:lang w:eastAsia="it-IT"/>
        </w:rPr>
        <w:t>BONUS FACCIATE, I COMMERCIALISTI PUBBLICANO LA CHECK LIST PER IL VISTO DI CONFORMITA’</w:t>
      </w:r>
    </w:p>
    <w:p w14:paraId="1582ADCE" w14:textId="51526A56" w:rsidR="00604C0A" w:rsidRDefault="00604C0A" w:rsidP="00604C0A">
      <w:pPr>
        <w:shd w:val="clear" w:color="auto" w:fill="FFFFFF"/>
        <w:spacing w:after="0" w:line="240" w:lineRule="auto"/>
        <w:jc w:val="center"/>
        <w:rPr>
          <w:rFonts w:ascii="Arial" w:eastAsia="Calibri" w:hAnsi="Arial" w:cs="Arial"/>
          <w:b/>
          <w:bCs/>
          <w:color w:val="000000"/>
          <w:sz w:val="24"/>
          <w:szCs w:val="24"/>
          <w:lang w:eastAsia="it-IT"/>
        </w:rPr>
      </w:pPr>
    </w:p>
    <w:p w14:paraId="61C64F6A" w14:textId="73D4B958" w:rsidR="00604C0A" w:rsidRPr="00604C0A" w:rsidRDefault="00604C0A" w:rsidP="00604C0A">
      <w:pPr>
        <w:shd w:val="clear" w:color="auto" w:fill="FFFFFF"/>
        <w:spacing w:after="0" w:line="240" w:lineRule="auto"/>
        <w:jc w:val="center"/>
        <w:rPr>
          <w:rFonts w:ascii="Arial" w:eastAsia="Calibri" w:hAnsi="Arial" w:cs="Arial"/>
          <w:b/>
          <w:bCs/>
          <w:color w:val="000000"/>
          <w:sz w:val="24"/>
          <w:szCs w:val="24"/>
          <w:lang w:eastAsia="it-IT"/>
        </w:rPr>
      </w:pPr>
      <w:r>
        <w:rPr>
          <w:rFonts w:ascii="Arial" w:eastAsia="Calibri" w:hAnsi="Arial" w:cs="Arial"/>
          <w:b/>
          <w:bCs/>
          <w:color w:val="000000"/>
          <w:sz w:val="24"/>
          <w:szCs w:val="24"/>
          <w:lang w:eastAsia="it-IT"/>
        </w:rPr>
        <w:t xml:space="preserve">Il documento del Consiglio e della Fondazione nazionali della categoria rappresenta uno strumento di supporto per il professionista incaricato, utile per verificare la presenza della documentazione necessaria </w:t>
      </w:r>
    </w:p>
    <w:p w14:paraId="6C124A52" w14:textId="77777777" w:rsidR="00604C0A" w:rsidRPr="00604C0A" w:rsidRDefault="00604C0A" w:rsidP="00604C0A">
      <w:pPr>
        <w:shd w:val="clear" w:color="auto" w:fill="FFFFFF"/>
        <w:spacing w:after="0" w:line="240" w:lineRule="auto"/>
        <w:jc w:val="center"/>
        <w:rPr>
          <w:rFonts w:ascii="Arial" w:eastAsia="Calibri" w:hAnsi="Arial" w:cs="Arial"/>
          <w:sz w:val="24"/>
          <w:szCs w:val="24"/>
          <w:lang w:eastAsia="it-IT"/>
        </w:rPr>
      </w:pPr>
    </w:p>
    <w:p w14:paraId="597F9B1E" w14:textId="77777777" w:rsidR="00604C0A" w:rsidRDefault="00604C0A" w:rsidP="00604C0A">
      <w:pPr>
        <w:keepNext/>
        <w:shd w:val="clear" w:color="auto" w:fill="FFFFFF"/>
        <w:spacing w:after="0" w:line="240" w:lineRule="auto"/>
        <w:jc w:val="both"/>
        <w:outlineLvl w:val="2"/>
        <w:rPr>
          <w:rFonts w:ascii="Arial" w:eastAsia="Times New Roman" w:hAnsi="Arial" w:cs="Arial"/>
          <w:i/>
          <w:iCs/>
          <w:color w:val="000000"/>
          <w:sz w:val="24"/>
          <w:szCs w:val="24"/>
          <w:lang w:eastAsia="it-IT"/>
        </w:rPr>
      </w:pPr>
    </w:p>
    <w:p w14:paraId="2AD6590C" w14:textId="42D7525D" w:rsidR="00604C0A" w:rsidRPr="00604C0A" w:rsidRDefault="00604C0A" w:rsidP="00604C0A">
      <w:pPr>
        <w:keepNext/>
        <w:shd w:val="clear" w:color="auto" w:fill="FFFFFF"/>
        <w:spacing w:after="0" w:line="240" w:lineRule="auto"/>
        <w:jc w:val="both"/>
        <w:outlineLvl w:val="2"/>
        <w:rPr>
          <w:rFonts w:ascii="Arial" w:eastAsia="Times New Roman" w:hAnsi="Arial" w:cs="Arial"/>
          <w:sz w:val="24"/>
          <w:szCs w:val="24"/>
          <w:lang w:eastAsia="it-IT"/>
        </w:rPr>
      </w:pPr>
      <w:r w:rsidRPr="00604C0A">
        <w:rPr>
          <w:rFonts w:ascii="Arial" w:eastAsia="Times New Roman" w:hAnsi="Arial" w:cs="Arial"/>
          <w:i/>
          <w:iCs/>
          <w:color w:val="000000"/>
          <w:sz w:val="24"/>
          <w:szCs w:val="24"/>
          <w:lang w:eastAsia="it-IT"/>
        </w:rPr>
        <w:t>Roma, 4 dicembre 2021</w:t>
      </w:r>
      <w:r w:rsidRPr="00604C0A">
        <w:rPr>
          <w:rFonts w:ascii="Arial" w:eastAsia="Times New Roman" w:hAnsi="Arial" w:cs="Arial"/>
          <w:color w:val="000000"/>
          <w:sz w:val="24"/>
          <w:szCs w:val="24"/>
          <w:lang w:eastAsia="it-IT"/>
        </w:rPr>
        <w:t xml:space="preserve"> - Il Consiglio e la Fondazione nazionali dei commercialisti hanno pubblicato il documento di ricerca </w:t>
      </w:r>
      <w:r w:rsidRPr="00604C0A">
        <w:rPr>
          <w:rFonts w:ascii="Arial" w:eastAsia="Times New Roman" w:hAnsi="Arial" w:cs="Arial"/>
          <w:b/>
          <w:bCs/>
          <w:color w:val="000000"/>
          <w:sz w:val="24"/>
          <w:szCs w:val="24"/>
          <w:lang w:eastAsia="it-IT"/>
        </w:rPr>
        <w:t>“Check List - Bonus facciate”</w:t>
      </w:r>
      <w:r w:rsidRPr="00604C0A">
        <w:rPr>
          <w:rFonts w:ascii="Arial" w:eastAsia="Times New Roman" w:hAnsi="Arial" w:cs="Arial"/>
          <w:color w:val="000000"/>
          <w:sz w:val="24"/>
          <w:szCs w:val="24"/>
          <w:lang w:eastAsia="it-IT"/>
        </w:rPr>
        <w:t xml:space="preserve">. Il cosiddetto “Bonus facciate”, previsto dal </w:t>
      </w:r>
      <w:r w:rsidRPr="00604C0A">
        <w:rPr>
          <w:rFonts w:ascii="Arial" w:eastAsia="Times New Roman" w:hAnsi="Arial" w:cs="Arial"/>
          <w:color w:val="000000"/>
          <w:sz w:val="24"/>
          <w:szCs w:val="24"/>
          <w:bdr w:val="none" w:sz="0" w:space="0" w:color="auto" w:frame="1"/>
          <w:lang w:eastAsia="it-IT"/>
        </w:rPr>
        <w:t>Bilancio di previsione dello Stato per l’anno finanziario 2020 e bilancio pluriennale per il triennio 2020-2022 (</w:t>
      </w:r>
      <w:r w:rsidRPr="00604C0A">
        <w:rPr>
          <w:rFonts w:ascii="Arial" w:eastAsia="Times New Roman" w:hAnsi="Arial" w:cs="Arial"/>
          <w:color w:val="000000"/>
          <w:sz w:val="24"/>
          <w:szCs w:val="24"/>
          <w:lang w:eastAsia="it-IT"/>
        </w:rPr>
        <w:t xml:space="preserve">legge 27 dicembre 2019, n. 160), consiste in una </w:t>
      </w:r>
      <w:r w:rsidRPr="00604C0A">
        <w:rPr>
          <w:rFonts w:ascii="Arial" w:eastAsia="Times New Roman" w:hAnsi="Arial" w:cs="Arial"/>
          <w:b/>
          <w:bCs/>
          <w:color w:val="000000"/>
          <w:sz w:val="24"/>
          <w:szCs w:val="24"/>
          <w:lang w:eastAsia="it-IT"/>
        </w:rPr>
        <w:t>detrazione dall’imposta lorda</w:t>
      </w:r>
      <w:r w:rsidRPr="00604C0A">
        <w:rPr>
          <w:rFonts w:ascii="Arial" w:eastAsia="Times New Roman" w:hAnsi="Arial" w:cs="Arial"/>
          <w:color w:val="000000"/>
          <w:sz w:val="24"/>
          <w:szCs w:val="24"/>
          <w:lang w:eastAsia="it-IT"/>
        </w:rPr>
        <w:t xml:space="preserve"> (Irpef o </w:t>
      </w:r>
      <w:proofErr w:type="spellStart"/>
      <w:r w:rsidRPr="00604C0A">
        <w:rPr>
          <w:rFonts w:ascii="Arial" w:eastAsia="Times New Roman" w:hAnsi="Arial" w:cs="Arial"/>
          <w:color w:val="000000"/>
          <w:sz w:val="24"/>
          <w:szCs w:val="24"/>
          <w:lang w:eastAsia="it-IT"/>
        </w:rPr>
        <w:t>Ires</w:t>
      </w:r>
      <w:proofErr w:type="spellEnd"/>
      <w:r w:rsidRPr="00604C0A">
        <w:rPr>
          <w:rFonts w:ascii="Arial" w:eastAsia="Times New Roman" w:hAnsi="Arial" w:cs="Arial"/>
          <w:color w:val="000000"/>
          <w:sz w:val="24"/>
          <w:szCs w:val="24"/>
          <w:lang w:eastAsia="it-IT"/>
        </w:rPr>
        <w:t xml:space="preserve">) per le </w:t>
      </w:r>
      <w:r w:rsidRPr="00604C0A">
        <w:rPr>
          <w:rFonts w:ascii="Arial" w:eastAsia="Times New Roman" w:hAnsi="Arial" w:cs="Arial"/>
          <w:b/>
          <w:bCs/>
          <w:color w:val="000000"/>
          <w:sz w:val="24"/>
          <w:szCs w:val="24"/>
          <w:lang w:eastAsia="it-IT"/>
        </w:rPr>
        <w:t>spese relative agli interventi di recupero</w:t>
      </w:r>
      <w:r w:rsidRPr="00604C0A">
        <w:rPr>
          <w:rFonts w:ascii="Arial" w:eastAsia="Times New Roman" w:hAnsi="Arial" w:cs="Arial"/>
          <w:color w:val="000000"/>
          <w:sz w:val="24"/>
          <w:szCs w:val="24"/>
          <w:lang w:eastAsia="it-IT"/>
        </w:rPr>
        <w:t xml:space="preserve"> o </w:t>
      </w:r>
      <w:r w:rsidRPr="00604C0A">
        <w:rPr>
          <w:rFonts w:ascii="Arial" w:eastAsia="Times New Roman" w:hAnsi="Arial" w:cs="Arial"/>
          <w:b/>
          <w:bCs/>
          <w:color w:val="000000"/>
          <w:sz w:val="24"/>
          <w:szCs w:val="24"/>
          <w:lang w:eastAsia="it-IT"/>
        </w:rPr>
        <w:t>restauro della facciata degli edifici</w:t>
      </w:r>
      <w:r w:rsidRPr="00604C0A">
        <w:rPr>
          <w:rFonts w:ascii="Arial" w:eastAsia="Times New Roman" w:hAnsi="Arial" w:cs="Arial"/>
          <w:color w:val="000000"/>
          <w:sz w:val="24"/>
          <w:szCs w:val="24"/>
          <w:lang w:eastAsia="it-IT"/>
        </w:rPr>
        <w:t xml:space="preserve"> esistenti, ivi inclusi quelli di sola pulitura o tinteggiatura esterna. È possibile fruire della detrazione direttamente in dichiarazione oppure esercitare l’opzione per lo sconto in fattura o la cessione del credito prevista dall’art. 121 del decreto-legge n. 34 del 2020.</w:t>
      </w:r>
    </w:p>
    <w:p w14:paraId="7C22EE62" w14:textId="77777777" w:rsidR="00604C0A" w:rsidRPr="00604C0A" w:rsidRDefault="00604C0A" w:rsidP="00604C0A">
      <w:pPr>
        <w:shd w:val="clear" w:color="auto" w:fill="FFFFFF"/>
        <w:spacing w:after="0" w:line="240" w:lineRule="auto"/>
        <w:jc w:val="both"/>
        <w:rPr>
          <w:rFonts w:ascii="Arial" w:eastAsia="Calibri" w:hAnsi="Arial" w:cs="Arial"/>
          <w:sz w:val="24"/>
          <w:szCs w:val="24"/>
          <w:lang w:eastAsia="it-IT"/>
        </w:rPr>
      </w:pPr>
    </w:p>
    <w:p w14:paraId="63201B50" w14:textId="77777777" w:rsidR="00604C0A" w:rsidRPr="00604C0A" w:rsidRDefault="00604C0A" w:rsidP="00604C0A">
      <w:pPr>
        <w:spacing w:after="0" w:line="240" w:lineRule="auto"/>
        <w:jc w:val="both"/>
        <w:rPr>
          <w:rFonts w:ascii="Arial" w:eastAsia="Calibri" w:hAnsi="Arial" w:cs="Arial"/>
          <w:sz w:val="24"/>
          <w:szCs w:val="24"/>
          <w:lang w:eastAsia="it-IT"/>
        </w:rPr>
      </w:pPr>
      <w:r w:rsidRPr="00604C0A">
        <w:rPr>
          <w:rFonts w:ascii="Arial" w:eastAsia="Calibri" w:hAnsi="Arial" w:cs="Arial"/>
          <w:sz w:val="24"/>
          <w:szCs w:val="24"/>
          <w:lang w:eastAsia="it-IT"/>
        </w:rPr>
        <w:t xml:space="preserve">Il </w:t>
      </w:r>
      <w:r w:rsidRPr="00604C0A">
        <w:rPr>
          <w:rFonts w:ascii="Arial" w:eastAsia="Calibri" w:hAnsi="Arial" w:cs="Arial"/>
          <w:b/>
          <w:bCs/>
          <w:sz w:val="24"/>
          <w:szCs w:val="24"/>
          <w:lang w:eastAsia="it-IT"/>
        </w:rPr>
        <w:t>recente “Decreto anti-frodi”</w:t>
      </w:r>
      <w:r w:rsidRPr="00604C0A">
        <w:rPr>
          <w:rFonts w:ascii="Arial" w:eastAsia="Calibri" w:hAnsi="Arial" w:cs="Arial"/>
          <w:sz w:val="24"/>
          <w:szCs w:val="24"/>
          <w:lang w:eastAsia="it-IT"/>
        </w:rPr>
        <w:t xml:space="preserve"> (decreto-legge n. 157 dell’11 novembre 2021), al fine di arginare possibili abusi, ha esteso ai bonus edilizi diversi dal Superbonus - tra cui il “Bonus facciate” - l’obbligatorietà del visto di conformità e dell’asseverazione della congruità delle spese, nei casi in cui il beneficiario intenda avvalersi di una delle </w:t>
      </w:r>
      <w:proofErr w:type="gramStart"/>
      <w:r w:rsidRPr="00604C0A">
        <w:rPr>
          <w:rFonts w:ascii="Arial" w:eastAsia="Calibri" w:hAnsi="Arial" w:cs="Arial"/>
          <w:sz w:val="24"/>
          <w:szCs w:val="24"/>
          <w:lang w:eastAsia="it-IT"/>
        </w:rPr>
        <w:t>predette</w:t>
      </w:r>
      <w:proofErr w:type="gramEnd"/>
      <w:r w:rsidRPr="00604C0A">
        <w:rPr>
          <w:rFonts w:ascii="Arial" w:eastAsia="Calibri" w:hAnsi="Arial" w:cs="Arial"/>
          <w:sz w:val="24"/>
          <w:szCs w:val="24"/>
          <w:lang w:eastAsia="it-IT"/>
        </w:rPr>
        <w:t xml:space="preserve"> opzioni per lo sconto in fattura o la cessione del credito.</w:t>
      </w:r>
    </w:p>
    <w:p w14:paraId="61C4B3B0" w14:textId="77777777" w:rsidR="00604C0A" w:rsidRPr="00604C0A" w:rsidRDefault="00604C0A" w:rsidP="00604C0A">
      <w:pPr>
        <w:spacing w:after="0" w:line="240" w:lineRule="auto"/>
        <w:jc w:val="both"/>
        <w:rPr>
          <w:rFonts w:ascii="Arial" w:eastAsia="Calibri" w:hAnsi="Arial" w:cs="Arial"/>
          <w:sz w:val="24"/>
          <w:szCs w:val="24"/>
          <w:lang w:eastAsia="it-IT"/>
        </w:rPr>
      </w:pPr>
    </w:p>
    <w:p w14:paraId="610D8B93" w14:textId="571F0298" w:rsidR="00604C0A" w:rsidRPr="00604C0A" w:rsidRDefault="00604C0A" w:rsidP="00604C0A">
      <w:pPr>
        <w:spacing w:after="0" w:line="240" w:lineRule="auto"/>
        <w:jc w:val="both"/>
        <w:rPr>
          <w:rFonts w:ascii="Arial" w:eastAsia="Calibri" w:hAnsi="Arial" w:cs="Arial"/>
          <w:sz w:val="24"/>
          <w:szCs w:val="24"/>
          <w:lang w:eastAsia="it-IT"/>
        </w:rPr>
      </w:pPr>
      <w:r w:rsidRPr="00604C0A">
        <w:rPr>
          <w:rFonts w:ascii="Arial" w:eastAsia="Calibri" w:hAnsi="Arial" w:cs="Arial"/>
          <w:sz w:val="24"/>
          <w:szCs w:val="24"/>
          <w:lang w:eastAsia="it-IT"/>
        </w:rPr>
        <w:t xml:space="preserve">La </w:t>
      </w:r>
      <w:r w:rsidRPr="00604C0A">
        <w:rPr>
          <w:rFonts w:ascii="Arial" w:eastAsia="Calibri" w:hAnsi="Arial" w:cs="Arial"/>
          <w:b/>
          <w:bCs/>
          <w:sz w:val="24"/>
          <w:szCs w:val="24"/>
          <w:lang w:eastAsia="it-IT"/>
        </w:rPr>
        <w:t xml:space="preserve">presente </w:t>
      </w:r>
      <w:r w:rsidRPr="00604C0A">
        <w:rPr>
          <w:rFonts w:ascii="Arial" w:eastAsia="Calibri" w:hAnsi="Arial" w:cs="Arial"/>
          <w:b/>
          <w:bCs/>
          <w:i/>
          <w:iCs/>
          <w:sz w:val="24"/>
          <w:szCs w:val="24"/>
          <w:lang w:eastAsia="it-IT"/>
        </w:rPr>
        <w:t>check list</w:t>
      </w:r>
      <w:r w:rsidRPr="00604C0A">
        <w:rPr>
          <w:rFonts w:ascii="Arial" w:eastAsia="Calibri" w:hAnsi="Arial" w:cs="Arial"/>
          <w:sz w:val="24"/>
          <w:szCs w:val="24"/>
          <w:lang w:eastAsia="it-IT"/>
        </w:rPr>
        <w:t xml:space="preserve"> fornisce una guida ai professionisti incaricati del </w:t>
      </w:r>
      <w:r w:rsidRPr="00604C0A">
        <w:rPr>
          <w:rFonts w:ascii="Arial" w:eastAsia="Calibri" w:hAnsi="Arial" w:cs="Arial"/>
          <w:b/>
          <w:bCs/>
          <w:sz w:val="24"/>
          <w:szCs w:val="24"/>
          <w:lang w:eastAsia="it-IT"/>
        </w:rPr>
        <w:t>rilascio del visto di conformità</w:t>
      </w:r>
      <w:r w:rsidRPr="00604C0A">
        <w:rPr>
          <w:rFonts w:ascii="Arial" w:eastAsia="Calibri" w:hAnsi="Arial" w:cs="Arial"/>
          <w:sz w:val="24"/>
          <w:szCs w:val="24"/>
          <w:lang w:eastAsia="it-IT"/>
        </w:rPr>
        <w:t xml:space="preserve"> in relazione agli interventi che danno diritto al “Bonus facciate”, utile per verificare la presenza della documentazione necessaria per l’apposizione del visto. Si evidenzia che essa, al pari delle </w:t>
      </w:r>
      <w:r w:rsidRPr="00604C0A">
        <w:rPr>
          <w:rFonts w:ascii="Arial" w:eastAsia="Calibri" w:hAnsi="Arial" w:cs="Arial"/>
          <w:i/>
          <w:iCs/>
          <w:sz w:val="24"/>
          <w:szCs w:val="24"/>
          <w:lang w:eastAsia="it-IT"/>
        </w:rPr>
        <w:t>check list</w:t>
      </w:r>
      <w:r w:rsidRPr="00604C0A">
        <w:rPr>
          <w:rFonts w:ascii="Arial" w:eastAsia="Calibri" w:hAnsi="Arial" w:cs="Arial"/>
          <w:sz w:val="24"/>
          <w:szCs w:val="24"/>
          <w:lang w:eastAsia="it-IT"/>
        </w:rPr>
        <w:t xml:space="preserve"> già pubblicate per gli interventi che danno diritto al Superbonus, </w:t>
      </w:r>
      <w:r w:rsidRPr="00604C0A">
        <w:rPr>
          <w:rFonts w:ascii="Arial" w:eastAsia="Calibri" w:hAnsi="Arial" w:cs="Arial"/>
          <w:b/>
          <w:bCs/>
          <w:sz w:val="24"/>
          <w:szCs w:val="24"/>
          <w:lang w:eastAsia="it-IT"/>
        </w:rPr>
        <w:t>rappresenta uno strumento di supporto</w:t>
      </w:r>
      <w:r w:rsidRPr="00604C0A">
        <w:rPr>
          <w:rFonts w:ascii="Arial" w:eastAsia="Calibri" w:hAnsi="Arial" w:cs="Arial"/>
          <w:sz w:val="24"/>
          <w:szCs w:val="24"/>
          <w:lang w:eastAsia="it-IT"/>
        </w:rPr>
        <w:t xml:space="preserve"> per il professionista di carattere generale che non può ritenersi comunque esaustivo circa i controlli da effettuare. Spetta infatti esclusivamente al professionista incaricato verificare, caso per caso, la conformità dei dati relativi alla documentazione che attesta la sussistenza dei presupposti che danno diritto alla detrazione d’imposta e che è necessaria ai fini della valida apposizione del visto di conformità.</w:t>
      </w:r>
    </w:p>
    <w:p w14:paraId="6F3BE752" w14:textId="77777777" w:rsidR="00604C0A" w:rsidRDefault="00604C0A" w:rsidP="00604C0A">
      <w:pPr>
        <w:suppressAutoHyphens/>
        <w:autoSpaceDN w:val="0"/>
        <w:spacing w:after="0" w:line="240" w:lineRule="auto"/>
        <w:ind w:left="-142"/>
        <w:jc w:val="center"/>
        <w:textAlignment w:val="baseline"/>
        <w:rPr>
          <w:rFonts w:ascii="Arial" w:eastAsia="Times New Roman" w:hAnsi="Arial" w:cs="Arial"/>
          <w:b/>
          <w:bCs/>
          <w:sz w:val="24"/>
          <w:szCs w:val="24"/>
        </w:rPr>
      </w:pPr>
    </w:p>
    <w:p w14:paraId="4F45C474" w14:textId="77777777" w:rsidR="00604C0A" w:rsidRDefault="00604C0A" w:rsidP="00604C0A">
      <w:pPr>
        <w:suppressAutoHyphens/>
        <w:autoSpaceDN w:val="0"/>
        <w:spacing w:after="0" w:line="240" w:lineRule="auto"/>
        <w:jc w:val="center"/>
        <w:textAlignment w:val="baseline"/>
        <w:rPr>
          <w:rFonts w:ascii="Arial" w:eastAsia="Times New Roman" w:hAnsi="Arial" w:cs="Arial"/>
          <w:b/>
          <w:bCs/>
          <w:sz w:val="24"/>
          <w:szCs w:val="24"/>
        </w:rPr>
      </w:pPr>
    </w:p>
    <w:sectPr w:rsidR="00604C0A">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24296" w14:textId="77777777" w:rsidR="00604C0A" w:rsidRDefault="00604C0A" w:rsidP="00604C0A">
      <w:pPr>
        <w:spacing w:after="0" w:line="240" w:lineRule="auto"/>
      </w:pPr>
      <w:r>
        <w:separator/>
      </w:r>
    </w:p>
  </w:endnote>
  <w:endnote w:type="continuationSeparator" w:id="0">
    <w:p w14:paraId="6866EE85" w14:textId="77777777" w:rsidR="00604C0A" w:rsidRDefault="00604C0A" w:rsidP="00604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E5385" w14:textId="77777777" w:rsidR="00604C0A" w:rsidRDefault="00604C0A" w:rsidP="00604C0A">
      <w:pPr>
        <w:spacing w:after="0" w:line="240" w:lineRule="auto"/>
      </w:pPr>
      <w:r>
        <w:separator/>
      </w:r>
    </w:p>
  </w:footnote>
  <w:footnote w:type="continuationSeparator" w:id="0">
    <w:p w14:paraId="088D51DB" w14:textId="77777777" w:rsidR="00604C0A" w:rsidRDefault="00604C0A" w:rsidP="00604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86C14" w14:textId="05CE9E07" w:rsidR="00604C0A" w:rsidRDefault="00604C0A" w:rsidP="00604C0A">
    <w:pPr>
      <w:pStyle w:val="Intestazione"/>
      <w:jc w:val="center"/>
    </w:pPr>
    <w:r>
      <w:rPr>
        <w:noProof/>
      </w:rPr>
      <w:drawing>
        <wp:inline distT="0" distB="0" distL="0" distR="0" wp14:anchorId="62912F02" wp14:editId="76C54FF7">
          <wp:extent cx="2878837" cy="977867"/>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15" cy="98771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C0A"/>
    <w:rsid w:val="004046CC"/>
    <w:rsid w:val="00604C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992B4"/>
  <w15:chartTrackingRefBased/>
  <w15:docId w15:val="{061ADEA1-7014-4904-AAD6-F70AC5A15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4C0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04C0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4C0A"/>
  </w:style>
  <w:style w:type="paragraph" w:styleId="Pidipagina">
    <w:name w:val="footer"/>
    <w:basedOn w:val="Normale"/>
    <w:link w:val="PidipaginaCarattere"/>
    <w:uiPriority w:val="99"/>
    <w:unhideWhenUsed/>
    <w:rsid w:val="00604C0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4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68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1</cp:revision>
  <dcterms:created xsi:type="dcterms:W3CDTF">2021-12-05T08:23:00Z</dcterms:created>
  <dcterms:modified xsi:type="dcterms:W3CDTF">2021-12-05T08:27:00Z</dcterms:modified>
</cp:coreProperties>
</file>