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1077C5" w:rsidRDefault="00A06F8E" w:rsidP="009C2AFB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5B071B02" w14:textId="77777777" w:rsidR="004D328C" w:rsidRDefault="004D328C" w:rsidP="009C2AF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  <w:bookmarkStart w:id="0" w:name="_Hlk121144733"/>
    </w:p>
    <w:p w14:paraId="4049DF40" w14:textId="77777777" w:rsidR="004D328C" w:rsidRDefault="004D328C" w:rsidP="009C2AF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2260CE5A" w14:textId="30BC8077" w:rsidR="003950E1" w:rsidRDefault="003A1CA5" w:rsidP="009C2AF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  <w:r w:rsidRPr="003A1CA5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Comunicato stampa</w:t>
      </w:r>
    </w:p>
    <w:p w14:paraId="4A991FA2" w14:textId="77777777" w:rsidR="008A6E04" w:rsidRDefault="008A6E04" w:rsidP="009C2AF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750F6316" w14:textId="77777777" w:rsidR="007375C2" w:rsidRDefault="008A6E04" w:rsidP="007375C2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 w:rsidRPr="008A6E04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MANOVRA: COMMERCIALISTI, BENE SU FLAT TAX, CUNEO E </w:t>
      </w:r>
      <w:r w:rsidR="000F1E44">
        <w:rPr>
          <w:rStyle w:val="contentpasted0"/>
          <w:rFonts w:ascii="Arial" w:hAnsi="Arial" w:cs="Arial"/>
          <w:b/>
          <w:bCs/>
          <w:bdr w:val="none" w:sz="0" w:space="0" w:color="auto" w:frame="1"/>
        </w:rPr>
        <w:t>DEBITI TRIBUTARI</w:t>
      </w:r>
    </w:p>
    <w:p w14:paraId="11BDF298" w14:textId="5102D76D" w:rsidR="003A1CA5" w:rsidRDefault="00E71366" w:rsidP="007375C2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 w:rsidRPr="00F41654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La categoria propone però una rateizzazione più lunga dei pagamenti, maggiore chiarezza su bonus edilizi e l’eliminazione </w:t>
      </w:r>
      <w:r w:rsidR="00F41654" w:rsidRPr="00F41654">
        <w:rPr>
          <w:rStyle w:val="contentpasted0"/>
          <w:rFonts w:ascii="Arial" w:hAnsi="Arial" w:cs="Arial"/>
          <w:b/>
          <w:bCs/>
          <w:bdr w:val="none" w:sz="0" w:space="0" w:color="auto" w:frame="1"/>
        </w:rPr>
        <w:t>della</w:t>
      </w:r>
      <w:r w:rsidR="00F41654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 responsabilità solidale degli intermediari per l’inizio dell’attività IVA</w:t>
      </w:r>
    </w:p>
    <w:p w14:paraId="18F1AEA6" w14:textId="77777777" w:rsidR="009C2AFB" w:rsidRPr="009C2AFB" w:rsidRDefault="009C2AFB" w:rsidP="009C2AFB"/>
    <w:p w14:paraId="58D3B8B4" w14:textId="67F82FAF" w:rsidR="008A6E04" w:rsidRPr="009C2AFB" w:rsidRDefault="008A6E04" w:rsidP="009C2AFB">
      <w:pPr>
        <w:jc w:val="both"/>
        <w:rPr>
          <w:rFonts w:ascii="Arial" w:hAnsi="Arial" w:cs="Arial"/>
        </w:rPr>
      </w:pPr>
      <w:r w:rsidRPr="00E71366">
        <w:rPr>
          <w:rFonts w:ascii="Arial" w:hAnsi="Arial" w:cs="Arial"/>
          <w:i/>
          <w:iCs/>
        </w:rPr>
        <w:t>Roma, 5 dicembre 2022  -</w:t>
      </w:r>
      <w:r w:rsidRPr="00E71366">
        <w:rPr>
          <w:rFonts w:ascii="Arial" w:hAnsi="Arial" w:cs="Arial"/>
        </w:rPr>
        <w:t xml:space="preserve"> “Un impianto normativo </w:t>
      </w:r>
      <w:r w:rsidR="00984A9A" w:rsidRPr="00E71366">
        <w:rPr>
          <w:rFonts w:ascii="Arial" w:hAnsi="Arial" w:cs="Arial"/>
        </w:rPr>
        <w:t xml:space="preserve">nel </w:t>
      </w:r>
      <w:r w:rsidRPr="00E71366">
        <w:rPr>
          <w:rFonts w:ascii="Arial" w:hAnsi="Arial" w:cs="Arial"/>
        </w:rPr>
        <w:t>comples</w:t>
      </w:r>
      <w:r w:rsidR="00984A9A" w:rsidRPr="00E71366">
        <w:rPr>
          <w:rFonts w:ascii="Arial" w:hAnsi="Arial" w:cs="Arial"/>
        </w:rPr>
        <w:t>s</w:t>
      </w:r>
      <w:r w:rsidRPr="00E71366">
        <w:rPr>
          <w:rFonts w:ascii="Arial" w:hAnsi="Arial" w:cs="Arial"/>
        </w:rPr>
        <w:t>o</w:t>
      </w:r>
      <w:r w:rsidR="00984A9A" w:rsidRPr="00E71366">
        <w:rPr>
          <w:rFonts w:ascii="Arial" w:hAnsi="Arial" w:cs="Arial"/>
        </w:rPr>
        <w:t xml:space="preserve"> </w:t>
      </w:r>
      <w:r w:rsidR="00984A9A" w:rsidRPr="00E71366">
        <w:rPr>
          <w:rFonts w:ascii="Arial" w:hAnsi="Arial" w:cs="Arial"/>
          <w:b/>
          <w:bCs/>
        </w:rPr>
        <w:t>positivo</w:t>
      </w:r>
      <w:r w:rsidRPr="00E71366">
        <w:rPr>
          <w:rFonts w:ascii="Arial" w:hAnsi="Arial" w:cs="Arial"/>
        </w:rPr>
        <w:t xml:space="preserve">, che ovviamente potrà essere </w:t>
      </w:r>
      <w:r w:rsidRPr="00E71366">
        <w:rPr>
          <w:rFonts w:ascii="Arial" w:hAnsi="Arial" w:cs="Arial"/>
          <w:b/>
          <w:bCs/>
        </w:rPr>
        <w:t>migliorato</w:t>
      </w:r>
      <w:r w:rsidRPr="00E71366">
        <w:rPr>
          <w:rFonts w:ascii="Arial" w:hAnsi="Arial" w:cs="Arial"/>
        </w:rPr>
        <w:t xml:space="preserve"> in sede parlamentare con ulteriori misure frutto anche dei contributi provenienti da parti sociali, categorie professionali e altre organizzazioni”. È il giudizio sulla </w:t>
      </w:r>
      <w:r w:rsidRPr="00E71366">
        <w:rPr>
          <w:rFonts w:ascii="Arial" w:hAnsi="Arial" w:cs="Arial"/>
          <w:b/>
          <w:bCs/>
        </w:rPr>
        <w:t>legge di Bilancio</w:t>
      </w:r>
      <w:r w:rsidRPr="00E71366">
        <w:rPr>
          <w:rFonts w:ascii="Arial" w:hAnsi="Arial" w:cs="Arial"/>
        </w:rPr>
        <w:t xml:space="preserve"> espresso dal </w:t>
      </w:r>
      <w:r w:rsidRPr="00E71366">
        <w:rPr>
          <w:rFonts w:ascii="Arial" w:hAnsi="Arial" w:cs="Arial"/>
          <w:b/>
          <w:bCs/>
        </w:rPr>
        <w:t>Consiglio nazionale dei commercialisti</w:t>
      </w:r>
      <w:r w:rsidRPr="00E71366">
        <w:rPr>
          <w:rFonts w:ascii="Arial" w:hAnsi="Arial" w:cs="Arial"/>
        </w:rPr>
        <w:t xml:space="preserve">, presieduto da </w:t>
      </w:r>
      <w:r w:rsidRPr="00E71366">
        <w:rPr>
          <w:rFonts w:ascii="Arial" w:hAnsi="Arial" w:cs="Arial"/>
          <w:b/>
          <w:bCs/>
        </w:rPr>
        <w:t>Elbano de Nuccio</w:t>
      </w:r>
      <w:r w:rsidRPr="00E71366">
        <w:rPr>
          <w:rFonts w:ascii="Arial" w:hAnsi="Arial" w:cs="Arial"/>
        </w:rPr>
        <w:t xml:space="preserve">, in un documento inviato a </w:t>
      </w:r>
      <w:r w:rsidRPr="00E71366">
        <w:rPr>
          <w:rFonts w:ascii="Arial" w:hAnsi="Arial" w:cs="Arial"/>
          <w:b/>
          <w:bCs/>
        </w:rPr>
        <w:t>Camera e Senato</w:t>
      </w:r>
      <w:r w:rsidRPr="00E71366">
        <w:rPr>
          <w:rFonts w:ascii="Arial" w:hAnsi="Arial" w:cs="Arial"/>
        </w:rPr>
        <w:t xml:space="preserve">. Giudizio positivo che, a parere della categoria, “va </w:t>
      </w:r>
      <w:r w:rsidRPr="009C2AFB">
        <w:rPr>
          <w:rFonts w:ascii="Arial" w:hAnsi="Arial" w:cs="Arial"/>
        </w:rPr>
        <w:t xml:space="preserve">innanzitutto rivolto agli interventi di </w:t>
      </w:r>
      <w:r w:rsidRPr="009C2AFB">
        <w:rPr>
          <w:rFonts w:ascii="Arial" w:hAnsi="Arial" w:cs="Arial"/>
          <w:b/>
          <w:bCs/>
        </w:rPr>
        <w:t xml:space="preserve">riduzione della pressione fiscale </w:t>
      </w:r>
      <w:r w:rsidRPr="009C2AFB">
        <w:rPr>
          <w:rFonts w:ascii="Arial" w:hAnsi="Arial" w:cs="Arial"/>
        </w:rPr>
        <w:t xml:space="preserve">e, segnatamente agli interventi tesi ad ampliare la platea dei contribuenti ammessi al </w:t>
      </w:r>
      <w:r w:rsidRPr="009C2AFB">
        <w:rPr>
          <w:rFonts w:ascii="Arial" w:hAnsi="Arial" w:cs="Arial"/>
          <w:b/>
          <w:bCs/>
        </w:rPr>
        <w:t>regime forfettario</w:t>
      </w:r>
      <w:r w:rsidRPr="009C2AFB">
        <w:rPr>
          <w:rFonts w:ascii="Arial" w:hAnsi="Arial" w:cs="Arial"/>
        </w:rPr>
        <w:t xml:space="preserve"> nonché alle misure di </w:t>
      </w:r>
      <w:r w:rsidRPr="009C2AFB">
        <w:rPr>
          <w:rFonts w:ascii="Arial" w:hAnsi="Arial" w:cs="Arial"/>
          <w:b/>
          <w:bCs/>
        </w:rPr>
        <w:t>sostegno al reddito</w:t>
      </w:r>
      <w:r w:rsidRPr="009C2AFB">
        <w:rPr>
          <w:rFonts w:ascii="Arial" w:hAnsi="Arial" w:cs="Arial"/>
        </w:rPr>
        <w:t xml:space="preserve"> dei lavoratori dipendenti consistenti nella riduzione del </w:t>
      </w:r>
      <w:r w:rsidRPr="009C2AFB">
        <w:rPr>
          <w:rFonts w:ascii="Arial" w:hAnsi="Arial" w:cs="Arial"/>
          <w:b/>
          <w:bCs/>
        </w:rPr>
        <w:t>cuneo fiscale</w:t>
      </w:r>
      <w:r w:rsidRPr="009C2AFB">
        <w:rPr>
          <w:rFonts w:ascii="Arial" w:hAnsi="Arial" w:cs="Arial"/>
        </w:rPr>
        <w:t xml:space="preserve"> sul lavoro e nella riduzione dal </w:t>
      </w:r>
      <w:r w:rsidRPr="009C2AFB">
        <w:rPr>
          <w:rFonts w:ascii="Arial" w:hAnsi="Arial" w:cs="Arial"/>
          <w:b/>
          <w:bCs/>
        </w:rPr>
        <w:t>10 per cento al 5 per cento</w:t>
      </w:r>
      <w:r w:rsidRPr="009C2AFB">
        <w:rPr>
          <w:rFonts w:ascii="Arial" w:hAnsi="Arial" w:cs="Arial"/>
        </w:rPr>
        <w:t xml:space="preserve"> dell'aliquota dell'imposta sostitutiva sulle somme erogate sotto forma di premi di risultato o di partecipazione agli utili d'impresa ai lavoratori dipendenti del settore privato”. Altrettanto positivo “è il quadro di norme tes</w:t>
      </w:r>
      <w:r w:rsidR="009C2AFB" w:rsidRPr="009C2AFB">
        <w:rPr>
          <w:rFonts w:ascii="Arial" w:hAnsi="Arial" w:cs="Arial"/>
        </w:rPr>
        <w:t>o</w:t>
      </w:r>
      <w:r w:rsidRPr="009C2AFB">
        <w:rPr>
          <w:rFonts w:ascii="Arial" w:hAnsi="Arial" w:cs="Arial"/>
        </w:rPr>
        <w:t xml:space="preserve"> a consentire il pagamento dei </w:t>
      </w:r>
      <w:r w:rsidRPr="009C2AFB">
        <w:rPr>
          <w:rFonts w:ascii="Arial" w:hAnsi="Arial" w:cs="Arial"/>
          <w:b/>
          <w:bCs/>
        </w:rPr>
        <w:t>debiti tributari pregressi</w:t>
      </w:r>
      <w:r w:rsidRPr="009C2AFB">
        <w:rPr>
          <w:rFonts w:ascii="Arial" w:hAnsi="Arial" w:cs="Arial"/>
        </w:rPr>
        <w:t xml:space="preserve"> e la definizione dei </w:t>
      </w:r>
      <w:r w:rsidRPr="009C2AFB">
        <w:rPr>
          <w:rFonts w:ascii="Arial" w:hAnsi="Arial" w:cs="Arial"/>
          <w:b/>
          <w:bCs/>
        </w:rPr>
        <w:t>contenziosi tributari</w:t>
      </w:r>
      <w:r w:rsidRPr="009C2AFB">
        <w:rPr>
          <w:rFonts w:ascii="Arial" w:hAnsi="Arial" w:cs="Arial"/>
        </w:rPr>
        <w:t xml:space="preserve"> in essere”. </w:t>
      </w:r>
    </w:p>
    <w:p w14:paraId="215AE11B" w14:textId="5D1E4530" w:rsidR="008A6E04" w:rsidRPr="009C2AFB" w:rsidRDefault="008A6E04" w:rsidP="009C2AFB">
      <w:pPr>
        <w:jc w:val="both"/>
        <w:rPr>
          <w:rFonts w:ascii="Arial" w:hAnsi="Arial" w:cs="Arial"/>
        </w:rPr>
      </w:pPr>
    </w:p>
    <w:p w14:paraId="00C91660" w14:textId="02F22522" w:rsidR="00C57D05" w:rsidRPr="009C2AFB" w:rsidRDefault="008A6E04" w:rsidP="009C2AFB">
      <w:pPr>
        <w:jc w:val="both"/>
        <w:rPr>
          <w:rFonts w:ascii="Arial" w:hAnsi="Arial" w:cs="Arial"/>
        </w:rPr>
      </w:pPr>
      <w:r w:rsidRPr="009C2AFB">
        <w:rPr>
          <w:rFonts w:ascii="Arial" w:hAnsi="Arial" w:cs="Arial"/>
        </w:rPr>
        <w:t xml:space="preserve">Nel documento, i commercialisti avanzano anche </w:t>
      </w:r>
      <w:r w:rsidRPr="009C2AFB">
        <w:rPr>
          <w:rFonts w:ascii="Arial" w:hAnsi="Arial" w:cs="Arial"/>
          <w:b/>
          <w:bCs/>
        </w:rPr>
        <w:t>proposte emendative</w:t>
      </w:r>
      <w:r w:rsidR="00C57D05" w:rsidRPr="009C2AFB">
        <w:rPr>
          <w:rFonts w:ascii="Arial" w:hAnsi="Arial" w:cs="Arial"/>
        </w:rPr>
        <w:t xml:space="preserve">. </w:t>
      </w:r>
      <w:r w:rsidR="00756475" w:rsidRPr="009C2AFB">
        <w:rPr>
          <w:rFonts w:ascii="Arial" w:hAnsi="Arial" w:cs="Arial"/>
        </w:rPr>
        <w:t xml:space="preserve">Per le </w:t>
      </w:r>
      <w:r w:rsidR="00756475" w:rsidRPr="009C2AFB">
        <w:rPr>
          <w:rFonts w:ascii="Arial" w:hAnsi="Arial" w:cs="Arial"/>
          <w:b/>
        </w:rPr>
        <w:t xml:space="preserve">varie forme di definizione </w:t>
      </w:r>
      <w:r w:rsidR="00C57D05" w:rsidRPr="009C2AFB">
        <w:rPr>
          <w:rFonts w:ascii="Arial" w:hAnsi="Arial" w:cs="Arial"/>
          <w:b/>
          <w:bCs/>
        </w:rPr>
        <w:t>agevolat</w:t>
      </w:r>
      <w:r w:rsidR="00756475" w:rsidRPr="009C2AFB">
        <w:rPr>
          <w:rFonts w:ascii="Arial" w:hAnsi="Arial" w:cs="Arial"/>
          <w:b/>
          <w:bCs/>
        </w:rPr>
        <w:t>a</w:t>
      </w:r>
      <w:r w:rsidR="00C57D05" w:rsidRPr="009C2AFB">
        <w:rPr>
          <w:rFonts w:ascii="Arial" w:hAnsi="Arial" w:cs="Arial"/>
        </w:rPr>
        <w:t xml:space="preserve"> </w:t>
      </w:r>
      <w:r w:rsidR="00756475" w:rsidRPr="009C2AFB">
        <w:rPr>
          <w:rFonts w:ascii="Arial" w:hAnsi="Arial" w:cs="Arial"/>
        </w:rPr>
        <w:t>del</w:t>
      </w:r>
      <w:r w:rsidR="00C57D05" w:rsidRPr="009C2AFB">
        <w:rPr>
          <w:rFonts w:ascii="Arial" w:hAnsi="Arial" w:cs="Arial"/>
        </w:rPr>
        <w:t>la pretesa tributaria</w:t>
      </w:r>
      <w:r w:rsidR="00756475" w:rsidRPr="009C2AFB">
        <w:rPr>
          <w:rFonts w:ascii="Arial" w:hAnsi="Arial" w:cs="Arial"/>
        </w:rPr>
        <w:t xml:space="preserve"> previste dal disegno di legge (ad eccezione della sanatoria delle irregolarità formali)</w:t>
      </w:r>
      <w:r w:rsidR="00C57D05" w:rsidRPr="009C2AFB">
        <w:rPr>
          <w:rFonts w:ascii="Arial" w:hAnsi="Arial" w:cs="Arial"/>
        </w:rPr>
        <w:t>, i commercialisti, “al fine di rendere maggiormente sostenibile il pagamento di quanto dovuto dai contribuenti e garantire il buon fine delle misure di sostegno, nonché di rendere più omogenee le modalità di pagamento in</w:t>
      </w:r>
      <w:r w:rsidR="00756475" w:rsidRPr="009C2AFB">
        <w:rPr>
          <w:rFonts w:ascii="Arial" w:hAnsi="Arial" w:cs="Arial"/>
        </w:rPr>
        <w:t xml:space="preserve"> forma rateale”, propongono</w:t>
      </w:r>
      <w:r w:rsidR="00C57D05" w:rsidRPr="009C2AFB">
        <w:rPr>
          <w:rFonts w:ascii="Arial" w:hAnsi="Arial" w:cs="Arial"/>
        </w:rPr>
        <w:t xml:space="preserve">, la </w:t>
      </w:r>
      <w:r w:rsidR="00756475" w:rsidRPr="009C2AFB">
        <w:rPr>
          <w:rFonts w:ascii="Arial" w:hAnsi="Arial" w:cs="Arial"/>
        </w:rPr>
        <w:t>“</w:t>
      </w:r>
      <w:r w:rsidR="00C57D05" w:rsidRPr="009C2AFB">
        <w:rPr>
          <w:rFonts w:ascii="Arial" w:hAnsi="Arial" w:cs="Arial"/>
        </w:rPr>
        <w:t xml:space="preserve">facoltà di rateizzare il pagamento in un massimo di </w:t>
      </w:r>
      <w:r w:rsidR="00C57D05" w:rsidRPr="009C2AFB">
        <w:rPr>
          <w:rFonts w:ascii="Arial" w:hAnsi="Arial" w:cs="Arial"/>
          <w:b/>
          <w:bCs/>
        </w:rPr>
        <w:t>28 rate trimestrali (ovvero di sette anni)</w:t>
      </w:r>
      <w:r w:rsidR="00C57D05" w:rsidRPr="009C2AFB">
        <w:rPr>
          <w:rFonts w:ascii="Arial" w:hAnsi="Arial" w:cs="Arial"/>
        </w:rPr>
        <w:t xml:space="preserve">, per importi dovuti </w:t>
      </w:r>
      <w:r w:rsidR="00C57D05" w:rsidRPr="009C2AFB">
        <w:rPr>
          <w:rFonts w:ascii="Arial" w:hAnsi="Arial" w:cs="Arial"/>
          <w:b/>
          <w:bCs/>
        </w:rPr>
        <w:t>superiori a euro 30.000 e fino a euro 50.000</w:t>
      </w:r>
      <w:r w:rsidR="00C57D05" w:rsidRPr="009C2AFB">
        <w:rPr>
          <w:rFonts w:ascii="Arial" w:hAnsi="Arial" w:cs="Arial"/>
        </w:rPr>
        <w:t xml:space="preserve">, e in un massimo di </w:t>
      </w:r>
      <w:r w:rsidR="00C57D05" w:rsidRPr="009C2AFB">
        <w:rPr>
          <w:rFonts w:ascii="Arial" w:hAnsi="Arial" w:cs="Arial"/>
          <w:b/>
          <w:bCs/>
        </w:rPr>
        <w:t>40 rate trimestrali (ovvero di dieci anni)</w:t>
      </w:r>
      <w:r w:rsidR="00C57D05" w:rsidRPr="009C2AFB">
        <w:rPr>
          <w:rFonts w:ascii="Arial" w:hAnsi="Arial" w:cs="Arial"/>
        </w:rPr>
        <w:t xml:space="preserve">, per importi dovuti superiori a </w:t>
      </w:r>
      <w:r w:rsidR="00C57D05" w:rsidRPr="009C2AFB">
        <w:rPr>
          <w:rFonts w:ascii="Arial" w:hAnsi="Arial" w:cs="Arial"/>
          <w:b/>
          <w:bCs/>
        </w:rPr>
        <w:t>euro 50.000</w:t>
      </w:r>
      <w:r w:rsidR="00C57D05" w:rsidRPr="009C2AFB">
        <w:rPr>
          <w:rFonts w:ascii="Arial" w:hAnsi="Arial" w:cs="Arial"/>
        </w:rPr>
        <w:t>”.</w:t>
      </w:r>
    </w:p>
    <w:p w14:paraId="3D6C0597" w14:textId="77777777" w:rsidR="00C57D05" w:rsidRPr="009C2AFB" w:rsidRDefault="00C57D05" w:rsidP="009C2AFB">
      <w:pPr>
        <w:jc w:val="both"/>
        <w:rPr>
          <w:rFonts w:ascii="Arial" w:hAnsi="Arial" w:cs="Arial"/>
        </w:rPr>
      </w:pPr>
    </w:p>
    <w:p w14:paraId="4C8D61B1" w14:textId="55EF5A9F" w:rsidR="0087247B" w:rsidRPr="009C2AFB" w:rsidRDefault="000F1E44" w:rsidP="009C2AFB">
      <w:pPr>
        <w:jc w:val="both"/>
        <w:rPr>
          <w:rFonts w:ascii="Arial" w:hAnsi="Arial" w:cs="Arial"/>
        </w:rPr>
      </w:pPr>
      <w:r w:rsidRPr="009C2AFB">
        <w:rPr>
          <w:rFonts w:ascii="Arial" w:hAnsi="Arial" w:cs="Arial"/>
        </w:rPr>
        <w:t>Dalla categoria arriva anche la</w:t>
      </w:r>
      <w:r w:rsidR="008A6E04" w:rsidRPr="009C2AFB">
        <w:rPr>
          <w:rFonts w:ascii="Arial" w:hAnsi="Arial" w:cs="Arial"/>
        </w:rPr>
        <w:t xml:space="preserve"> </w:t>
      </w:r>
      <w:r w:rsidR="000C055B" w:rsidRPr="009C2AFB">
        <w:rPr>
          <w:rFonts w:ascii="Arial" w:hAnsi="Arial" w:cs="Arial"/>
        </w:rPr>
        <w:t xml:space="preserve">ferma </w:t>
      </w:r>
      <w:r w:rsidR="008A6E04" w:rsidRPr="009C2AFB">
        <w:rPr>
          <w:rFonts w:ascii="Arial" w:hAnsi="Arial" w:cs="Arial"/>
        </w:rPr>
        <w:t xml:space="preserve">richiesta </w:t>
      </w:r>
      <w:r w:rsidR="00E817C0" w:rsidRPr="009C2AFB">
        <w:rPr>
          <w:rFonts w:ascii="Arial" w:hAnsi="Arial" w:cs="Arial"/>
        </w:rPr>
        <w:t>d</w:t>
      </w:r>
      <w:r w:rsidR="00984A9A" w:rsidRPr="009C2AFB">
        <w:rPr>
          <w:rFonts w:ascii="Arial" w:hAnsi="Arial" w:cs="Arial"/>
        </w:rPr>
        <w:t xml:space="preserve">i </w:t>
      </w:r>
      <w:r w:rsidR="000A0D9C" w:rsidRPr="009C2AFB">
        <w:rPr>
          <w:rFonts w:ascii="Arial" w:hAnsi="Arial" w:cs="Arial"/>
          <w:b/>
        </w:rPr>
        <w:t>eliminazione della responsabilità solidale dell’intermediario che trasmette la dichiarazione di inizio attività</w:t>
      </w:r>
      <w:r w:rsidR="000A0D9C" w:rsidRPr="009C2AFB">
        <w:rPr>
          <w:rFonts w:ascii="Arial" w:hAnsi="Arial" w:cs="Arial"/>
        </w:rPr>
        <w:t>, per la sanzione di 3</w:t>
      </w:r>
      <w:r w:rsidR="0087247B" w:rsidRPr="009C2AFB">
        <w:rPr>
          <w:rFonts w:ascii="Arial" w:hAnsi="Arial" w:cs="Arial"/>
        </w:rPr>
        <w:t xml:space="preserve">mila </w:t>
      </w:r>
      <w:r w:rsidR="000A0D9C" w:rsidRPr="009C2AFB">
        <w:rPr>
          <w:rFonts w:ascii="Arial" w:hAnsi="Arial" w:cs="Arial"/>
        </w:rPr>
        <w:t xml:space="preserve">euro prevista a carico del contribuente che, in esito ai controlli dell’Agenzia delle entrate connessi al rilascio di nuove partite IVA, non abbia risposto all’invito a comparire ovvero </w:t>
      </w:r>
      <w:r w:rsidR="0087247B" w:rsidRPr="009C2AFB">
        <w:rPr>
          <w:rFonts w:ascii="Arial" w:hAnsi="Arial" w:cs="Arial"/>
        </w:rPr>
        <w:t xml:space="preserve">non sia riuscito a dimostrare l’effettivo esercizio dell’attività, e che pertanto risulti </w:t>
      </w:r>
      <w:r w:rsidR="000A0D9C" w:rsidRPr="009C2AFB">
        <w:rPr>
          <w:rFonts w:ascii="Arial" w:hAnsi="Arial" w:cs="Arial"/>
        </w:rPr>
        <w:t>destinatario del provvedimento di cessazione</w:t>
      </w:r>
      <w:r w:rsidR="0087247B" w:rsidRPr="009C2AFB">
        <w:rPr>
          <w:rFonts w:ascii="Arial" w:hAnsi="Arial" w:cs="Arial"/>
        </w:rPr>
        <w:t xml:space="preserve"> </w:t>
      </w:r>
      <w:r w:rsidR="0087247B" w:rsidRPr="009C2AFB">
        <w:rPr>
          <w:rFonts w:ascii="Arial" w:hAnsi="Arial" w:cs="Arial"/>
          <w:color w:val="333333"/>
          <w:shd w:val="clear" w:color="auto" w:fill="FFFFFF"/>
        </w:rPr>
        <w:t xml:space="preserve">della </w:t>
      </w:r>
      <w:r w:rsidR="0087247B" w:rsidRPr="009C2AFB">
        <w:rPr>
          <w:rStyle w:val="Enfasigrassetto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partita IVA.</w:t>
      </w:r>
      <w:r w:rsidR="00E71366" w:rsidRPr="009C2AFB">
        <w:rPr>
          <w:rStyle w:val="Enfasigrassetto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“</w:t>
      </w:r>
      <w:r w:rsidR="0087247B" w:rsidRPr="009C2AFB">
        <w:rPr>
          <w:rFonts w:ascii="Arial" w:hAnsi="Arial" w:cs="Arial"/>
          <w:b/>
        </w:rPr>
        <w:t>Responsabilità</w:t>
      </w:r>
      <w:r w:rsidR="0087247B" w:rsidRPr="009C2AFB">
        <w:rPr>
          <w:rFonts w:ascii="Arial" w:hAnsi="Arial" w:cs="Arial"/>
        </w:rPr>
        <w:t xml:space="preserve"> </w:t>
      </w:r>
      <w:r w:rsidR="0087247B" w:rsidRPr="009C2AFB">
        <w:rPr>
          <w:rFonts w:ascii="Arial" w:hAnsi="Arial" w:cs="Arial"/>
          <w:b/>
        </w:rPr>
        <w:t>del tutto ingiustificata</w:t>
      </w:r>
      <w:r w:rsidR="00E71366" w:rsidRPr="009C2AFB">
        <w:rPr>
          <w:rFonts w:ascii="Arial" w:hAnsi="Arial" w:cs="Arial"/>
        </w:rPr>
        <w:t>”, affermano i commercialisti,</w:t>
      </w:r>
      <w:r w:rsidR="0087247B" w:rsidRPr="009C2AFB">
        <w:rPr>
          <w:rFonts w:ascii="Arial" w:hAnsi="Arial" w:cs="Arial"/>
        </w:rPr>
        <w:t xml:space="preserve"> </w:t>
      </w:r>
      <w:r w:rsidR="00E71366" w:rsidRPr="009C2AFB">
        <w:rPr>
          <w:rFonts w:ascii="Arial" w:hAnsi="Arial" w:cs="Arial"/>
        </w:rPr>
        <w:t>“</w:t>
      </w:r>
      <w:r w:rsidR="0087247B" w:rsidRPr="009C2AFB">
        <w:rPr>
          <w:rFonts w:ascii="Arial" w:hAnsi="Arial" w:cs="Arial"/>
        </w:rPr>
        <w:t>non disponendo certo l’intermediario degli strumenti e dei poteri riconosciuti all’Agenzia delle entrate per verificare l’affidabilità del soggetto che richiede l’attribuzione della partita IVA</w:t>
      </w:r>
      <w:r w:rsidR="00E71366" w:rsidRPr="009C2AFB">
        <w:rPr>
          <w:rFonts w:ascii="Arial" w:hAnsi="Arial" w:cs="Arial"/>
        </w:rPr>
        <w:t>”</w:t>
      </w:r>
      <w:r w:rsidR="0087247B" w:rsidRPr="009C2AFB">
        <w:rPr>
          <w:rFonts w:ascii="Arial" w:hAnsi="Arial" w:cs="Arial"/>
        </w:rPr>
        <w:t>.</w:t>
      </w:r>
      <w:r w:rsidR="00E71366" w:rsidRPr="009C2AFB">
        <w:rPr>
          <w:rFonts w:ascii="Arial" w:hAnsi="Arial" w:cs="Arial"/>
        </w:rPr>
        <w:t xml:space="preserve"> Peraltro, aggiungono, “la responsabilità scatterebbe per una violazione del contribuente che si perfeziona soltanto dopo l’apertura della partita IVA, che viene constatata attraverso controlli </w:t>
      </w:r>
      <w:r w:rsidR="00E71366" w:rsidRPr="009C2AFB">
        <w:rPr>
          <w:rFonts w:ascii="Arial" w:hAnsi="Arial" w:cs="Arial"/>
          <w:i/>
        </w:rPr>
        <w:t>ex post</w:t>
      </w:r>
      <w:r w:rsidR="00E71366" w:rsidRPr="009C2AFB">
        <w:rPr>
          <w:rFonts w:ascii="Arial" w:hAnsi="Arial" w:cs="Arial"/>
        </w:rPr>
        <w:t xml:space="preserve"> dell’Agenzia delle entrate e che l’intermediario è impossibilitato a conoscere all’atto della trasmissione telematica della dichiarazione di inizio attività. Il che si traduce in una </w:t>
      </w:r>
      <w:r w:rsidR="00E71366" w:rsidRPr="009C2AFB">
        <w:rPr>
          <w:rFonts w:ascii="Arial" w:hAnsi="Arial" w:cs="Arial"/>
          <w:b/>
        </w:rPr>
        <w:t>impropria attribuzione di responsabilità</w:t>
      </w:r>
      <w:r w:rsidR="00E71366" w:rsidRPr="009C2AFB">
        <w:rPr>
          <w:rFonts w:ascii="Arial" w:hAnsi="Arial" w:cs="Arial"/>
        </w:rPr>
        <w:t xml:space="preserve"> a carico dell’intermediario </w:t>
      </w:r>
      <w:r w:rsidR="00E71366" w:rsidRPr="009C2AFB">
        <w:rPr>
          <w:rFonts w:ascii="Arial" w:hAnsi="Arial" w:cs="Arial"/>
          <w:b/>
        </w:rPr>
        <w:t>per comportamenti del contribuente soltanto successivi all’incarico ricevuto e neppure prevedibili all’atto dell’effettuazione dell’adempimento”</w:t>
      </w:r>
      <w:r w:rsidR="00E71366" w:rsidRPr="009C2AFB">
        <w:rPr>
          <w:rFonts w:ascii="Arial" w:hAnsi="Arial" w:cs="Arial"/>
        </w:rPr>
        <w:t>.</w:t>
      </w:r>
    </w:p>
    <w:p w14:paraId="3BDE9B1A" w14:textId="18D3FA98" w:rsidR="00E71366" w:rsidRPr="009C2AFB" w:rsidRDefault="00E71366" w:rsidP="009C2AFB">
      <w:pPr>
        <w:jc w:val="both"/>
        <w:rPr>
          <w:rFonts w:ascii="Arial" w:hAnsi="Arial" w:cs="Arial"/>
        </w:rPr>
      </w:pPr>
    </w:p>
    <w:p w14:paraId="16BF08BE" w14:textId="17713717" w:rsidR="00E71366" w:rsidRPr="009C2AFB" w:rsidRDefault="00E71366" w:rsidP="009C2AFB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lang w:eastAsia="it-IT"/>
        </w:rPr>
      </w:pPr>
      <w:r w:rsidRPr="009C2AFB">
        <w:rPr>
          <w:rFonts w:ascii="Arial" w:hAnsi="Arial" w:cs="Arial"/>
          <w:color w:val="333333"/>
          <w:lang w:eastAsia="it-IT"/>
        </w:rPr>
        <w:t>La categoria ribadisce anche la richiesta di una misura che consenta alle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banche</w:t>
      </w:r>
      <w:r w:rsidRPr="009C2AFB">
        <w:rPr>
          <w:rFonts w:ascii="Arial" w:hAnsi="Arial" w:cs="Arial"/>
          <w:color w:val="333333"/>
          <w:lang w:eastAsia="it-IT"/>
        </w:rPr>
        <w:t> di liberare una parte del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plafond</w:t>
      </w:r>
      <w:r w:rsidRPr="009C2AFB">
        <w:rPr>
          <w:rFonts w:ascii="Arial" w:hAnsi="Arial" w:cs="Arial"/>
          <w:color w:val="333333"/>
          <w:lang w:eastAsia="it-IT"/>
        </w:rPr>
        <w:t> che hanno ancora disponibile per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l’acquisizione dei crediti da bonus fiscali</w:t>
      </w:r>
      <w:r w:rsidRPr="009C2AFB">
        <w:rPr>
          <w:rFonts w:ascii="Arial" w:hAnsi="Arial" w:cs="Arial"/>
          <w:color w:val="333333"/>
          <w:lang w:eastAsia="it-IT"/>
        </w:rPr>
        <w:t xml:space="preserve">, già avanzata nei giorni scorsi in audizione al Senato. La proposta è che i crediti d’imposta derivanti dagli interventi ammessi al superbonus relativi alle comunicazioni di cessione o di sconto in fattura inviate </w:t>
      </w:r>
      <w:r w:rsidRPr="009C2AFB">
        <w:rPr>
          <w:rFonts w:ascii="Arial" w:hAnsi="Arial" w:cs="Arial"/>
          <w:color w:val="333333"/>
          <w:lang w:eastAsia="it-IT"/>
        </w:rPr>
        <w:lastRenderedPageBreak/>
        <w:t>all’Agenzia delle Entrate entro il 31 ottobre 2022 e non ancora utilizzati, possano essere riportati, ai fini del loro utilizzo in compensazione, sino al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sesto periodo</w:t>
      </w:r>
      <w:r w:rsidRPr="009C2AFB">
        <w:rPr>
          <w:rFonts w:ascii="Arial" w:hAnsi="Arial" w:cs="Arial"/>
          <w:color w:val="333333"/>
          <w:lang w:eastAsia="it-IT"/>
        </w:rPr>
        <w:t xml:space="preserve"> di imposta successivo a quello di competenza. </w:t>
      </w:r>
    </w:p>
    <w:p w14:paraId="00643C30" w14:textId="77777777" w:rsidR="00E71366" w:rsidRPr="009C2AFB" w:rsidRDefault="00E71366" w:rsidP="009C2AFB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lang w:eastAsia="it-IT"/>
        </w:rPr>
      </w:pPr>
    </w:p>
    <w:p w14:paraId="6CD1CBC6" w14:textId="350C2706" w:rsidR="00E71366" w:rsidRPr="00E71366" w:rsidRDefault="00E71366" w:rsidP="009C2AFB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9C2AFB">
        <w:rPr>
          <w:rFonts w:ascii="Arial" w:hAnsi="Arial" w:cs="Arial"/>
          <w:color w:val="333333"/>
          <w:lang w:eastAsia="it-IT"/>
        </w:rPr>
        <w:t>Ri</w:t>
      </w:r>
      <w:r w:rsidR="00F41654" w:rsidRPr="009C2AFB">
        <w:rPr>
          <w:rFonts w:ascii="Arial" w:hAnsi="Arial" w:cs="Arial"/>
          <w:color w:val="333333"/>
          <w:lang w:eastAsia="it-IT"/>
        </w:rPr>
        <w:t xml:space="preserve">badita anche la richiesta </w:t>
      </w:r>
      <w:r w:rsidRPr="009C2AFB">
        <w:rPr>
          <w:rFonts w:ascii="Arial" w:hAnsi="Arial" w:cs="Arial"/>
          <w:color w:val="333333"/>
          <w:lang w:eastAsia="it-IT"/>
        </w:rPr>
        <w:t>di una norma di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interpretazione autentica</w:t>
      </w:r>
      <w:r w:rsidRPr="009C2AFB">
        <w:rPr>
          <w:rFonts w:ascii="Arial" w:hAnsi="Arial" w:cs="Arial"/>
          <w:color w:val="333333"/>
          <w:lang w:eastAsia="it-IT"/>
        </w:rPr>
        <w:t> in tema di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bonus fiscali diversi dai super bonus</w:t>
      </w:r>
      <w:r w:rsidRPr="009C2AFB">
        <w:rPr>
          <w:rFonts w:ascii="Arial" w:hAnsi="Arial" w:cs="Arial"/>
          <w:color w:val="333333"/>
          <w:lang w:eastAsia="it-IT"/>
        </w:rPr>
        <w:t> che, a seguito delle recenti pronunce della Corte di cassazione, chiarisca definitivamente che per i bonus minori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non è necessario il riscontro di stat</w:t>
      </w:r>
      <w:r w:rsidR="009C2AFB"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o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 xml:space="preserve"> avanzamento lavoro</w:t>
      </w:r>
      <w:r w:rsidRPr="009C2AFB">
        <w:rPr>
          <w:rFonts w:ascii="Arial" w:hAnsi="Arial" w:cs="Arial"/>
          <w:color w:val="333333"/>
          <w:lang w:eastAsia="it-IT"/>
        </w:rPr>
        <w:t>, così come più volte ribadito sia dal Ministero dell’Economia e delle Finanze che dall’Agenzia delle Entrate. “Un provvedimento assolutamente necessario per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tutelare la buona fede e l’affidamento</w:t>
      </w:r>
      <w:r w:rsidRPr="009C2AFB">
        <w:rPr>
          <w:rFonts w:ascii="Arial" w:hAnsi="Arial" w:cs="Arial"/>
          <w:color w:val="333333"/>
          <w:lang w:eastAsia="it-IT"/>
        </w:rPr>
        <w:t> degli operatori e dei loro professionisti, che hanno seguito le indicazione interpretative del MEF e dell’Agenzia delle Entrate che ora, a seguito delle pronunce della Corte di cassazione, rischiano di essere messe in discussione aprendo squarci preoccupanti nella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credibilità delle istituzioni</w:t>
      </w:r>
      <w:r w:rsidRPr="009C2AFB">
        <w:rPr>
          <w:rFonts w:ascii="Arial" w:hAnsi="Arial" w:cs="Arial"/>
          <w:color w:val="333333"/>
          <w:lang w:eastAsia="it-IT"/>
        </w:rPr>
        <w:t> interessate e alimentano </w:t>
      </w:r>
      <w:r w:rsidRPr="009C2AFB">
        <w:rPr>
          <w:rFonts w:ascii="Arial" w:hAnsi="Arial" w:cs="Arial"/>
          <w:b/>
          <w:bCs/>
          <w:color w:val="333333"/>
          <w:bdr w:val="none" w:sz="0" w:space="0" w:color="auto" w:frame="1"/>
          <w:lang w:eastAsia="it-IT"/>
        </w:rPr>
        <w:t>nuove incertezze</w:t>
      </w:r>
      <w:r w:rsidRPr="009C2AFB">
        <w:rPr>
          <w:rFonts w:ascii="Arial" w:hAnsi="Arial" w:cs="Arial"/>
          <w:color w:val="333333"/>
          <w:lang w:eastAsia="it-IT"/>
        </w:rPr>
        <w:t> per le operazioni in corso”, concludono.</w:t>
      </w:r>
      <w:r w:rsidRPr="00E71366">
        <w:rPr>
          <w:rFonts w:ascii="Arial" w:hAnsi="Arial" w:cs="Arial"/>
          <w:color w:val="333333"/>
          <w:lang w:eastAsia="it-IT"/>
        </w:rPr>
        <w:t xml:space="preserve"> </w:t>
      </w:r>
    </w:p>
    <w:p w14:paraId="15D49E92" w14:textId="77777777" w:rsidR="00E71366" w:rsidRPr="00E71366" w:rsidRDefault="00E71366" w:rsidP="009C2AFB">
      <w:pPr>
        <w:jc w:val="both"/>
        <w:rPr>
          <w:rFonts w:ascii="Arial" w:hAnsi="Arial" w:cs="Arial"/>
          <w:bCs/>
          <w:color w:val="333333"/>
          <w:bdr w:val="none" w:sz="0" w:space="0" w:color="auto" w:frame="1"/>
          <w:shd w:val="clear" w:color="auto" w:fill="FFFFFF"/>
        </w:rPr>
      </w:pPr>
    </w:p>
    <w:p w14:paraId="658678B6" w14:textId="72D1C07F" w:rsidR="008A6E04" w:rsidRPr="00E71366" w:rsidRDefault="008A6E04" w:rsidP="009C2AFB">
      <w:pPr>
        <w:jc w:val="both"/>
        <w:rPr>
          <w:rFonts w:ascii="Arial" w:hAnsi="Arial" w:cs="Arial"/>
        </w:rPr>
      </w:pPr>
    </w:p>
    <w:p w14:paraId="73D2B4EE" w14:textId="757404C5" w:rsidR="008A6E04" w:rsidRPr="00E71366" w:rsidRDefault="008A6E04" w:rsidP="009C2AFB">
      <w:pPr>
        <w:jc w:val="both"/>
        <w:rPr>
          <w:rFonts w:ascii="Arial" w:hAnsi="Arial" w:cs="Arial"/>
        </w:rPr>
      </w:pPr>
    </w:p>
    <w:p w14:paraId="7EE7F292" w14:textId="77777777" w:rsidR="008A6E04" w:rsidRPr="00E71366" w:rsidRDefault="008A6E04" w:rsidP="009C2AFB">
      <w:pPr>
        <w:jc w:val="both"/>
        <w:rPr>
          <w:rFonts w:ascii="Arial" w:hAnsi="Arial" w:cs="Arial"/>
        </w:rPr>
      </w:pPr>
    </w:p>
    <w:p w14:paraId="23CE4592" w14:textId="621D0F37" w:rsidR="004C2270" w:rsidRPr="00E71366" w:rsidRDefault="004C2270" w:rsidP="009C2AFB">
      <w:pPr>
        <w:pStyle w:val="Corpotesto"/>
        <w:spacing w:before="0" w:after="0" w:line="240" w:lineRule="auto"/>
        <w:ind w:firstLine="0"/>
        <w:rPr>
          <w:b/>
          <w:bCs/>
        </w:rPr>
      </w:pPr>
      <w:r w:rsidRPr="00E71366">
        <w:rPr>
          <w:b/>
          <w:bCs/>
        </w:rPr>
        <w:t>Mauro Parracino, Ufficio stampa Consiglio nazionale commercialisti - 334.3837514</w:t>
      </w:r>
    </w:p>
    <w:p w14:paraId="3D75B3F5" w14:textId="7CA6E6ED" w:rsidR="004C2270" w:rsidRPr="00E71366" w:rsidRDefault="004C2270" w:rsidP="009C2AFB">
      <w:pPr>
        <w:pStyle w:val="Corpotesto"/>
        <w:spacing w:before="0" w:after="0" w:line="240" w:lineRule="auto"/>
        <w:ind w:firstLine="0"/>
      </w:pPr>
    </w:p>
    <w:bookmarkEnd w:id="0"/>
    <w:p w14:paraId="07DE7F4B" w14:textId="77777777" w:rsidR="004C2270" w:rsidRPr="00E71366" w:rsidRDefault="004C2270" w:rsidP="009C2AFB">
      <w:pPr>
        <w:pStyle w:val="Corpotesto"/>
        <w:spacing w:before="0" w:after="0" w:line="240" w:lineRule="auto"/>
        <w:ind w:firstLine="0"/>
      </w:pPr>
    </w:p>
    <w:p w14:paraId="123F71FC" w14:textId="77777777" w:rsidR="004C2270" w:rsidRPr="00E71366" w:rsidRDefault="004C2270" w:rsidP="009C2AFB">
      <w:pPr>
        <w:rPr>
          <w:rFonts w:ascii="Arial" w:hAnsi="Arial" w:cs="Arial"/>
        </w:rPr>
      </w:pPr>
    </w:p>
    <w:sectPr w:rsidR="004C2270" w:rsidRPr="00E7136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9293" w14:textId="77777777" w:rsidR="00D41A4D" w:rsidRDefault="00D41A4D" w:rsidP="0078332C">
      <w:r>
        <w:separator/>
      </w:r>
    </w:p>
  </w:endnote>
  <w:endnote w:type="continuationSeparator" w:id="0">
    <w:p w14:paraId="06D533A4" w14:textId="77777777" w:rsidR="00D41A4D" w:rsidRDefault="00D41A4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D73E" w14:textId="77777777" w:rsidR="00D41A4D" w:rsidRDefault="00D41A4D" w:rsidP="0078332C">
      <w:r>
        <w:separator/>
      </w:r>
    </w:p>
  </w:footnote>
  <w:footnote w:type="continuationSeparator" w:id="0">
    <w:p w14:paraId="1594EBE8" w14:textId="77777777" w:rsidR="00D41A4D" w:rsidRDefault="00D41A4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4AD27CA3" wp14:editId="1C017BA1">
          <wp:extent cx="3320126" cy="1127760"/>
          <wp:effectExtent l="0" t="0" r="0" b="0"/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22" cy="11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977E71"/>
    <w:multiLevelType w:val="hybridMultilevel"/>
    <w:tmpl w:val="26421B1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B6A6C2F"/>
    <w:multiLevelType w:val="hybridMultilevel"/>
    <w:tmpl w:val="050CE5AE"/>
    <w:lvl w:ilvl="0" w:tplc="C290BFA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b w:val="0"/>
        <w:i w:val="0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FF2280"/>
    <w:multiLevelType w:val="hybridMultilevel"/>
    <w:tmpl w:val="6164ACF6"/>
    <w:lvl w:ilvl="0" w:tplc="623AAC7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0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556"/>
    <w:multiLevelType w:val="hybridMultilevel"/>
    <w:tmpl w:val="A93E2A0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146CA"/>
    <w:multiLevelType w:val="hybridMultilevel"/>
    <w:tmpl w:val="D98664FA"/>
    <w:lvl w:ilvl="0" w:tplc="623AAC7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ABD53B7"/>
    <w:multiLevelType w:val="hybridMultilevel"/>
    <w:tmpl w:val="9F1A577E"/>
    <w:lvl w:ilvl="0" w:tplc="623AAC7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9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9"/>
  </w:num>
  <w:num w:numId="5">
    <w:abstractNumId w:val="20"/>
  </w:num>
  <w:num w:numId="6">
    <w:abstractNumId w:val="6"/>
  </w:num>
  <w:num w:numId="7">
    <w:abstractNumId w:val="0"/>
  </w:num>
  <w:num w:numId="8">
    <w:abstractNumId w:val="18"/>
  </w:num>
  <w:num w:numId="9">
    <w:abstractNumId w:val="10"/>
  </w:num>
  <w:num w:numId="10">
    <w:abstractNumId w:val="10"/>
  </w:num>
  <w:num w:numId="11">
    <w:abstractNumId w:val="12"/>
  </w:num>
  <w:num w:numId="12">
    <w:abstractNumId w:val="3"/>
  </w:num>
  <w:num w:numId="13">
    <w:abstractNumId w:val="19"/>
  </w:num>
  <w:num w:numId="14">
    <w:abstractNumId w:val="5"/>
  </w:num>
  <w:num w:numId="15">
    <w:abstractNumId w:val="12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</w:num>
  <w:num w:numId="25">
    <w:abstractNumId w:val="14"/>
  </w:num>
  <w:num w:numId="26">
    <w:abstractNumId w:val="8"/>
  </w:num>
  <w:num w:numId="27">
    <w:abstractNumId w:val="16"/>
  </w:num>
  <w:num w:numId="28">
    <w:abstractNumId w:val="1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A17"/>
    <w:rsid w:val="000010F3"/>
    <w:rsid w:val="00001A1E"/>
    <w:rsid w:val="00002DC2"/>
    <w:rsid w:val="00004BCE"/>
    <w:rsid w:val="000056EC"/>
    <w:rsid w:val="00007377"/>
    <w:rsid w:val="0002297D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44359"/>
    <w:rsid w:val="00053052"/>
    <w:rsid w:val="000539AC"/>
    <w:rsid w:val="0006018A"/>
    <w:rsid w:val="0007464D"/>
    <w:rsid w:val="00075A91"/>
    <w:rsid w:val="000803B8"/>
    <w:rsid w:val="000806B0"/>
    <w:rsid w:val="00082FFB"/>
    <w:rsid w:val="00085FC5"/>
    <w:rsid w:val="00090CE4"/>
    <w:rsid w:val="0009108B"/>
    <w:rsid w:val="00092894"/>
    <w:rsid w:val="00093834"/>
    <w:rsid w:val="000971A3"/>
    <w:rsid w:val="000A0D9C"/>
    <w:rsid w:val="000B3EFF"/>
    <w:rsid w:val="000C0552"/>
    <w:rsid w:val="000C055B"/>
    <w:rsid w:val="000C19B1"/>
    <w:rsid w:val="000C405A"/>
    <w:rsid w:val="000C4B9F"/>
    <w:rsid w:val="000D01B1"/>
    <w:rsid w:val="000D1ACB"/>
    <w:rsid w:val="000D5BEA"/>
    <w:rsid w:val="000D7385"/>
    <w:rsid w:val="000D7847"/>
    <w:rsid w:val="000E13D3"/>
    <w:rsid w:val="000E1AE4"/>
    <w:rsid w:val="000E22EF"/>
    <w:rsid w:val="000E2C59"/>
    <w:rsid w:val="000E46C5"/>
    <w:rsid w:val="000F1E44"/>
    <w:rsid w:val="000F3853"/>
    <w:rsid w:val="000F4B0D"/>
    <w:rsid w:val="000F5E2B"/>
    <w:rsid w:val="00103B90"/>
    <w:rsid w:val="00105755"/>
    <w:rsid w:val="001077C5"/>
    <w:rsid w:val="00117671"/>
    <w:rsid w:val="00121A2C"/>
    <w:rsid w:val="00121C2D"/>
    <w:rsid w:val="00123B69"/>
    <w:rsid w:val="00142E95"/>
    <w:rsid w:val="00147297"/>
    <w:rsid w:val="00150857"/>
    <w:rsid w:val="00173E3A"/>
    <w:rsid w:val="00174310"/>
    <w:rsid w:val="00176841"/>
    <w:rsid w:val="00183DF0"/>
    <w:rsid w:val="00184600"/>
    <w:rsid w:val="00186787"/>
    <w:rsid w:val="00191BB6"/>
    <w:rsid w:val="00194C03"/>
    <w:rsid w:val="00196294"/>
    <w:rsid w:val="001A0166"/>
    <w:rsid w:val="001A1134"/>
    <w:rsid w:val="001A655B"/>
    <w:rsid w:val="001B0F39"/>
    <w:rsid w:val="001B67D7"/>
    <w:rsid w:val="001B6B90"/>
    <w:rsid w:val="001C2777"/>
    <w:rsid w:val="001C67E1"/>
    <w:rsid w:val="001C6BDD"/>
    <w:rsid w:val="001C7913"/>
    <w:rsid w:val="001C7A99"/>
    <w:rsid w:val="001C7E5F"/>
    <w:rsid w:val="001D456F"/>
    <w:rsid w:val="001E1F64"/>
    <w:rsid w:val="001E6BFD"/>
    <w:rsid w:val="001E7260"/>
    <w:rsid w:val="001F188F"/>
    <w:rsid w:val="001F19BC"/>
    <w:rsid w:val="00202900"/>
    <w:rsid w:val="00204012"/>
    <w:rsid w:val="002062BE"/>
    <w:rsid w:val="00215734"/>
    <w:rsid w:val="0021644F"/>
    <w:rsid w:val="00216654"/>
    <w:rsid w:val="002204CC"/>
    <w:rsid w:val="00221234"/>
    <w:rsid w:val="0022138F"/>
    <w:rsid w:val="00223567"/>
    <w:rsid w:val="0022378E"/>
    <w:rsid w:val="0022580D"/>
    <w:rsid w:val="0024011F"/>
    <w:rsid w:val="002438B0"/>
    <w:rsid w:val="00243BD7"/>
    <w:rsid w:val="00252400"/>
    <w:rsid w:val="00253A52"/>
    <w:rsid w:val="00270FEE"/>
    <w:rsid w:val="00272605"/>
    <w:rsid w:val="002777E7"/>
    <w:rsid w:val="00281202"/>
    <w:rsid w:val="0028246D"/>
    <w:rsid w:val="00285892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2AE6"/>
    <w:rsid w:val="002B400D"/>
    <w:rsid w:val="002B4C29"/>
    <w:rsid w:val="002B74D5"/>
    <w:rsid w:val="002C27DE"/>
    <w:rsid w:val="002C7311"/>
    <w:rsid w:val="002D15D6"/>
    <w:rsid w:val="002D1AFB"/>
    <w:rsid w:val="002D2034"/>
    <w:rsid w:val="002E00E7"/>
    <w:rsid w:val="002E0E5F"/>
    <w:rsid w:val="002F3E9E"/>
    <w:rsid w:val="002F4704"/>
    <w:rsid w:val="002F5D63"/>
    <w:rsid w:val="002F6036"/>
    <w:rsid w:val="003038FE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1FE2"/>
    <w:rsid w:val="0034303D"/>
    <w:rsid w:val="003479A2"/>
    <w:rsid w:val="00353EE3"/>
    <w:rsid w:val="0036445C"/>
    <w:rsid w:val="00365C91"/>
    <w:rsid w:val="00366188"/>
    <w:rsid w:val="003665E6"/>
    <w:rsid w:val="00371573"/>
    <w:rsid w:val="00374078"/>
    <w:rsid w:val="00377D0E"/>
    <w:rsid w:val="003808D1"/>
    <w:rsid w:val="00384967"/>
    <w:rsid w:val="00384C9E"/>
    <w:rsid w:val="00392245"/>
    <w:rsid w:val="003950E1"/>
    <w:rsid w:val="00397281"/>
    <w:rsid w:val="003A03BB"/>
    <w:rsid w:val="003A0939"/>
    <w:rsid w:val="003A1CA5"/>
    <w:rsid w:val="003A4565"/>
    <w:rsid w:val="003A7046"/>
    <w:rsid w:val="003B000F"/>
    <w:rsid w:val="003B24D0"/>
    <w:rsid w:val="003B7329"/>
    <w:rsid w:val="003C1AD8"/>
    <w:rsid w:val="003C2FF2"/>
    <w:rsid w:val="003C53E7"/>
    <w:rsid w:val="003D1DEE"/>
    <w:rsid w:val="003D2BA9"/>
    <w:rsid w:val="003D3F60"/>
    <w:rsid w:val="003D59CF"/>
    <w:rsid w:val="003E0F52"/>
    <w:rsid w:val="003E1112"/>
    <w:rsid w:val="003E1A7E"/>
    <w:rsid w:val="003E753F"/>
    <w:rsid w:val="003E78D0"/>
    <w:rsid w:val="003F7A1D"/>
    <w:rsid w:val="00400CE9"/>
    <w:rsid w:val="00407D99"/>
    <w:rsid w:val="00422B71"/>
    <w:rsid w:val="004251EF"/>
    <w:rsid w:val="00434025"/>
    <w:rsid w:val="00443042"/>
    <w:rsid w:val="00443F46"/>
    <w:rsid w:val="0046629D"/>
    <w:rsid w:val="0047270A"/>
    <w:rsid w:val="00472F6D"/>
    <w:rsid w:val="004758A5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C2270"/>
    <w:rsid w:val="004D328C"/>
    <w:rsid w:val="004E435B"/>
    <w:rsid w:val="004F1170"/>
    <w:rsid w:val="004F4736"/>
    <w:rsid w:val="004F56A8"/>
    <w:rsid w:val="004F5CE8"/>
    <w:rsid w:val="004F7362"/>
    <w:rsid w:val="00500E13"/>
    <w:rsid w:val="00503D7B"/>
    <w:rsid w:val="00505AE2"/>
    <w:rsid w:val="00511C1B"/>
    <w:rsid w:val="005122BE"/>
    <w:rsid w:val="00513967"/>
    <w:rsid w:val="00516C97"/>
    <w:rsid w:val="00520E1B"/>
    <w:rsid w:val="00521506"/>
    <w:rsid w:val="00522FFA"/>
    <w:rsid w:val="00531523"/>
    <w:rsid w:val="00531755"/>
    <w:rsid w:val="00534AD7"/>
    <w:rsid w:val="00536016"/>
    <w:rsid w:val="005403EC"/>
    <w:rsid w:val="00542311"/>
    <w:rsid w:val="00543860"/>
    <w:rsid w:val="00544970"/>
    <w:rsid w:val="00553436"/>
    <w:rsid w:val="00555885"/>
    <w:rsid w:val="005625A8"/>
    <w:rsid w:val="005636DE"/>
    <w:rsid w:val="00564A2D"/>
    <w:rsid w:val="005673AC"/>
    <w:rsid w:val="0056741A"/>
    <w:rsid w:val="0057755A"/>
    <w:rsid w:val="005779CB"/>
    <w:rsid w:val="0058002D"/>
    <w:rsid w:val="00580C25"/>
    <w:rsid w:val="005816F1"/>
    <w:rsid w:val="00582D74"/>
    <w:rsid w:val="00583C22"/>
    <w:rsid w:val="00583CB0"/>
    <w:rsid w:val="00585518"/>
    <w:rsid w:val="00590F83"/>
    <w:rsid w:val="00591DB8"/>
    <w:rsid w:val="0059237D"/>
    <w:rsid w:val="005959E4"/>
    <w:rsid w:val="00596FA8"/>
    <w:rsid w:val="005A3A3F"/>
    <w:rsid w:val="005B2397"/>
    <w:rsid w:val="005B45B5"/>
    <w:rsid w:val="005C1E5D"/>
    <w:rsid w:val="005C2248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16EA0"/>
    <w:rsid w:val="006273CC"/>
    <w:rsid w:val="00634944"/>
    <w:rsid w:val="00635DBC"/>
    <w:rsid w:val="00637B93"/>
    <w:rsid w:val="00640434"/>
    <w:rsid w:val="00640D51"/>
    <w:rsid w:val="00641C3C"/>
    <w:rsid w:val="00651FFD"/>
    <w:rsid w:val="00654E89"/>
    <w:rsid w:val="00656C55"/>
    <w:rsid w:val="0066338C"/>
    <w:rsid w:val="00665ACD"/>
    <w:rsid w:val="00667B8F"/>
    <w:rsid w:val="00677A10"/>
    <w:rsid w:val="00684F9D"/>
    <w:rsid w:val="00694E44"/>
    <w:rsid w:val="0069570D"/>
    <w:rsid w:val="006A0B5D"/>
    <w:rsid w:val="006A0D3B"/>
    <w:rsid w:val="006A4451"/>
    <w:rsid w:val="006A5D4E"/>
    <w:rsid w:val="006B414A"/>
    <w:rsid w:val="006C1588"/>
    <w:rsid w:val="006C3945"/>
    <w:rsid w:val="006C6818"/>
    <w:rsid w:val="006C7063"/>
    <w:rsid w:val="006C7B51"/>
    <w:rsid w:val="006D21F4"/>
    <w:rsid w:val="006D494A"/>
    <w:rsid w:val="006E43CD"/>
    <w:rsid w:val="006F3F98"/>
    <w:rsid w:val="006F4DC7"/>
    <w:rsid w:val="006F7B2B"/>
    <w:rsid w:val="00702DDB"/>
    <w:rsid w:val="00717DC7"/>
    <w:rsid w:val="00726188"/>
    <w:rsid w:val="007262E1"/>
    <w:rsid w:val="00733CCF"/>
    <w:rsid w:val="0073403B"/>
    <w:rsid w:val="00736E95"/>
    <w:rsid w:val="007375C2"/>
    <w:rsid w:val="007413CC"/>
    <w:rsid w:val="007415B1"/>
    <w:rsid w:val="007423B1"/>
    <w:rsid w:val="00742F7F"/>
    <w:rsid w:val="00750E38"/>
    <w:rsid w:val="007513BE"/>
    <w:rsid w:val="00752448"/>
    <w:rsid w:val="007551B7"/>
    <w:rsid w:val="00756475"/>
    <w:rsid w:val="0075696B"/>
    <w:rsid w:val="00764D9D"/>
    <w:rsid w:val="00775C2E"/>
    <w:rsid w:val="00777458"/>
    <w:rsid w:val="007816BA"/>
    <w:rsid w:val="00782159"/>
    <w:rsid w:val="0078332C"/>
    <w:rsid w:val="007835B6"/>
    <w:rsid w:val="0079297E"/>
    <w:rsid w:val="00795586"/>
    <w:rsid w:val="007B11FF"/>
    <w:rsid w:val="007C0856"/>
    <w:rsid w:val="007C0C2D"/>
    <w:rsid w:val="007C14B1"/>
    <w:rsid w:val="007C3A93"/>
    <w:rsid w:val="007C5CCD"/>
    <w:rsid w:val="007D3B8D"/>
    <w:rsid w:val="007D4196"/>
    <w:rsid w:val="007D726D"/>
    <w:rsid w:val="007E44E2"/>
    <w:rsid w:val="007F5FE2"/>
    <w:rsid w:val="0080283B"/>
    <w:rsid w:val="00803939"/>
    <w:rsid w:val="0080797B"/>
    <w:rsid w:val="0081381B"/>
    <w:rsid w:val="00813FF6"/>
    <w:rsid w:val="008140D8"/>
    <w:rsid w:val="00817E20"/>
    <w:rsid w:val="00831294"/>
    <w:rsid w:val="00832BE3"/>
    <w:rsid w:val="00841053"/>
    <w:rsid w:val="00843CA2"/>
    <w:rsid w:val="00851572"/>
    <w:rsid w:val="00855840"/>
    <w:rsid w:val="00856A47"/>
    <w:rsid w:val="008600AC"/>
    <w:rsid w:val="008603A5"/>
    <w:rsid w:val="00862A7A"/>
    <w:rsid w:val="00863104"/>
    <w:rsid w:val="0087247B"/>
    <w:rsid w:val="008730A3"/>
    <w:rsid w:val="0087487D"/>
    <w:rsid w:val="00882DBD"/>
    <w:rsid w:val="008863D6"/>
    <w:rsid w:val="00886628"/>
    <w:rsid w:val="0089059B"/>
    <w:rsid w:val="00892238"/>
    <w:rsid w:val="00892C1F"/>
    <w:rsid w:val="00893AB6"/>
    <w:rsid w:val="008940B2"/>
    <w:rsid w:val="00897D6B"/>
    <w:rsid w:val="008A423E"/>
    <w:rsid w:val="008A6E04"/>
    <w:rsid w:val="008B3BB7"/>
    <w:rsid w:val="008B7238"/>
    <w:rsid w:val="008C0C0D"/>
    <w:rsid w:val="008C5ED3"/>
    <w:rsid w:val="008C7690"/>
    <w:rsid w:val="008C7883"/>
    <w:rsid w:val="008D5C4B"/>
    <w:rsid w:val="008E141E"/>
    <w:rsid w:val="008E1681"/>
    <w:rsid w:val="008F5EDF"/>
    <w:rsid w:val="00900B88"/>
    <w:rsid w:val="0090438E"/>
    <w:rsid w:val="00906D46"/>
    <w:rsid w:val="00907687"/>
    <w:rsid w:val="00907E44"/>
    <w:rsid w:val="00920E08"/>
    <w:rsid w:val="0093430A"/>
    <w:rsid w:val="00934F3D"/>
    <w:rsid w:val="00935333"/>
    <w:rsid w:val="009400B3"/>
    <w:rsid w:val="009477ED"/>
    <w:rsid w:val="009618F5"/>
    <w:rsid w:val="00961A0C"/>
    <w:rsid w:val="0096544D"/>
    <w:rsid w:val="00967288"/>
    <w:rsid w:val="0097646E"/>
    <w:rsid w:val="00980E02"/>
    <w:rsid w:val="009813D9"/>
    <w:rsid w:val="00983F5A"/>
    <w:rsid w:val="00984A9A"/>
    <w:rsid w:val="00986756"/>
    <w:rsid w:val="00986B04"/>
    <w:rsid w:val="00987ED2"/>
    <w:rsid w:val="00993E86"/>
    <w:rsid w:val="009965B6"/>
    <w:rsid w:val="009A1934"/>
    <w:rsid w:val="009A33C1"/>
    <w:rsid w:val="009A3EB5"/>
    <w:rsid w:val="009C1155"/>
    <w:rsid w:val="009C1D5B"/>
    <w:rsid w:val="009C2A57"/>
    <w:rsid w:val="009C2AFB"/>
    <w:rsid w:val="009C468C"/>
    <w:rsid w:val="009D0B50"/>
    <w:rsid w:val="009D1F36"/>
    <w:rsid w:val="009D5B30"/>
    <w:rsid w:val="009D5C22"/>
    <w:rsid w:val="009E093B"/>
    <w:rsid w:val="009E0C7E"/>
    <w:rsid w:val="009E4B04"/>
    <w:rsid w:val="009E4B9A"/>
    <w:rsid w:val="009F0C91"/>
    <w:rsid w:val="009F0CD6"/>
    <w:rsid w:val="009F35EC"/>
    <w:rsid w:val="009F4399"/>
    <w:rsid w:val="00A04378"/>
    <w:rsid w:val="00A057F7"/>
    <w:rsid w:val="00A06F8E"/>
    <w:rsid w:val="00A07FB9"/>
    <w:rsid w:val="00A1077C"/>
    <w:rsid w:val="00A122FC"/>
    <w:rsid w:val="00A12594"/>
    <w:rsid w:val="00A167BC"/>
    <w:rsid w:val="00A21F2A"/>
    <w:rsid w:val="00A22498"/>
    <w:rsid w:val="00A250F1"/>
    <w:rsid w:val="00A27E42"/>
    <w:rsid w:val="00A34135"/>
    <w:rsid w:val="00A41F1F"/>
    <w:rsid w:val="00A41F47"/>
    <w:rsid w:val="00A4278A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91D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4816"/>
    <w:rsid w:val="00AE61AD"/>
    <w:rsid w:val="00AF0885"/>
    <w:rsid w:val="00AF747D"/>
    <w:rsid w:val="00B004D2"/>
    <w:rsid w:val="00B01322"/>
    <w:rsid w:val="00B0203C"/>
    <w:rsid w:val="00B06FC8"/>
    <w:rsid w:val="00B14747"/>
    <w:rsid w:val="00B15621"/>
    <w:rsid w:val="00B303EA"/>
    <w:rsid w:val="00B34200"/>
    <w:rsid w:val="00B42691"/>
    <w:rsid w:val="00B4455D"/>
    <w:rsid w:val="00B51B4A"/>
    <w:rsid w:val="00B60171"/>
    <w:rsid w:val="00B738BB"/>
    <w:rsid w:val="00B73E86"/>
    <w:rsid w:val="00B7432D"/>
    <w:rsid w:val="00B74510"/>
    <w:rsid w:val="00B82B25"/>
    <w:rsid w:val="00B84EF5"/>
    <w:rsid w:val="00B90683"/>
    <w:rsid w:val="00B926C3"/>
    <w:rsid w:val="00B92AA0"/>
    <w:rsid w:val="00BA04F4"/>
    <w:rsid w:val="00BA499D"/>
    <w:rsid w:val="00BA656E"/>
    <w:rsid w:val="00BB02DF"/>
    <w:rsid w:val="00BB2E5B"/>
    <w:rsid w:val="00BB7DCC"/>
    <w:rsid w:val="00BB7EE6"/>
    <w:rsid w:val="00BC5E35"/>
    <w:rsid w:val="00BC621A"/>
    <w:rsid w:val="00BC7F7E"/>
    <w:rsid w:val="00BD0164"/>
    <w:rsid w:val="00BD0510"/>
    <w:rsid w:val="00BD09E9"/>
    <w:rsid w:val="00BD2206"/>
    <w:rsid w:val="00BD44F6"/>
    <w:rsid w:val="00BD6259"/>
    <w:rsid w:val="00BE4274"/>
    <w:rsid w:val="00BF096F"/>
    <w:rsid w:val="00BF37E8"/>
    <w:rsid w:val="00BF3A80"/>
    <w:rsid w:val="00C01824"/>
    <w:rsid w:val="00C27F27"/>
    <w:rsid w:val="00C302BD"/>
    <w:rsid w:val="00C30E85"/>
    <w:rsid w:val="00C32A32"/>
    <w:rsid w:val="00C33494"/>
    <w:rsid w:val="00C342D6"/>
    <w:rsid w:val="00C418FB"/>
    <w:rsid w:val="00C424CF"/>
    <w:rsid w:val="00C43099"/>
    <w:rsid w:val="00C51F27"/>
    <w:rsid w:val="00C57D05"/>
    <w:rsid w:val="00C61B6E"/>
    <w:rsid w:val="00C630E0"/>
    <w:rsid w:val="00C66852"/>
    <w:rsid w:val="00C81BB1"/>
    <w:rsid w:val="00C821BE"/>
    <w:rsid w:val="00C844EB"/>
    <w:rsid w:val="00C867A7"/>
    <w:rsid w:val="00C91775"/>
    <w:rsid w:val="00C92F98"/>
    <w:rsid w:val="00C93548"/>
    <w:rsid w:val="00C93F66"/>
    <w:rsid w:val="00CA4152"/>
    <w:rsid w:val="00CB14A8"/>
    <w:rsid w:val="00CB245B"/>
    <w:rsid w:val="00CC07C8"/>
    <w:rsid w:val="00CC3CA3"/>
    <w:rsid w:val="00CC4763"/>
    <w:rsid w:val="00CC4F7C"/>
    <w:rsid w:val="00CC6BED"/>
    <w:rsid w:val="00CE403B"/>
    <w:rsid w:val="00CF22E4"/>
    <w:rsid w:val="00CF6388"/>
    <w:rsid w:val="00CF7BCA"/>
    <w:rsid w:val="00D02192"/>
    <w:rsid w:val="00D027A9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37863"/>
    <w:rsid w:val="00D41A4D"/>
    <w:rsid w:val="00D47429"/>
    <w:rsid w:val="00D53F64"/>
    <w:rsid w:val="00D554E5"/>
    <w:rsid w:val="00D569A1"/>
    <w:rsid w:val="00D5740A"/>
    <w:rsid w:val="00D64A55"/>
    <w:rsid w:val="00D65875"/>
    <w:rsid w:val="00D65A60"/>
    <w:rsid w:val="00D71D44"/>
    <w:rsid w:val="00D748BF"/>
    <w:rsid w:val="00D75105"/>
    <w:rsid w:val="00D7526D"/>
    <w:rsid w:val="00D92E6B"/>
    <w:rsid w:val="00DA27BF"/>
    <w:rsid w:val="00DA3483"/>
    <w:rsid w:val="00DA5138"/>
    <w:rsid w:val="00DA7914"/>
    <w:rsid w:val="00DB6F21"/>
    <w:rsid w:val="00DC2C88"/>
    <w:rsid w:val="00DC2C9E"/>
    <w:rsid w:val="00DD07C2"/>
    <w:rsid w:val="00DD0FCA"/>
    <w:rsid w:val="00DD1DF9"/>
    <w:rsid w:val="00DD43CD"/>
    <w:rsid w:val="00DD5699"/>
    <w:rsid w:val="00DD6F05"/>
    <w:rsid w:val="00DE0B8C"/>
    <w:rsid w:val="00DE78C6"/>
    <w:rsid w:val="00DF3633"/>
    <w:rsid w:val="00DF6785"/>
    <w:rsid w:val="00DF6F21"/>
    <w:rsid w:val="00E00144"/>
    <w:rsid w:val="00E03601"/>
    <w:rsid w:val="00E0710C"/>
    <w:rsid w:val="00E1355A"/>
    <w:rsid w:val="00E17A3E"/>
    <w:rsid w:val="00E17FA1"/>
    <w:rsid w:val="00E22AF3"/>
    <w:rsid w:val="00E23884"/>
    <w:rsid w:val="00E27BC3"/>
    <w:rsid w:val="00E30769"/>
    <w:rsid w:val="00E3236B"/>
    <w:rsid w:val="00E33070"/>
    <w:rsid w:val="00E3336E"/>
    <w:rsid w:val="00E3435A"/>
    <w:rsid w:val="00E42ED7"/>
    <w:rsid w:val="00E43EC4"/>
    <w:rsid w:val="00E45552"/>
    <w:rsid w:val="00E6797B"/>
    <w:rsid w:val="00E67E9C"/>
    <w:rsid w:val="00E701F3"/>
    <w:rsid w:val="00E71366"/>
    <w:rsid w:val="00E74CEB"/>
    <w:rsid w:val="00E76786"/>
    <w:rsid w:val="00E817C0"/>
    <w:rsid w:val="00E84A81"/>
    <w:rsid w:val="00E855E0"/>
    <w:rsid w:val="00E86BA0"/>
    <w:rsid w:val="00E9545A"/>
    <w:rsid w:val="00EA25EF"/>
    <w:rsid w:val="00EA5CE8"/>
    <w:rsid w:val="00EB517F"/>
    <w:rsid w:val="00EB67A4"/>
    <w:rsid w:val="00EB7E70"/>
    <w:rsid w:val="00EC11B4"/>
    <w:rsid w:val="00EC2A7C"/>
    <w:rsid w:val="00ED08A8"/>
    <w:rsid w:val="00ED2970"/>
    <w:rsid w:val="00ED2BA2"/>
    <w:rsid w:val="00EE3C69"/>
    <w:rsid w:val="00EE51A4"/>
    <w:rsid w:val="00EF2D19"/>
    <w:rsid w:val="00EF49EF"/>
    <w:rsid w:val="00EF561D"/>
    <w:rsid w:val="00EF57D4"/>
    <w:rsid w:val="00EF7D25"/>
    <w:rsid w:val="00F00503"/>
    <w:rsid w:val="00F079D1"/>
    <w:rsid w:val="00F24527"/>
    <w:rsid w:val="00F41654"/>
    <w:rsid w:val="00F430B8"/>
    <w:rsid w:val="00F45D3A"/>
    <w:rsid w:val="00F47CFC"/>
    <w:rsid w:val="00F53A8A"/>
    <w:rsid w:val="00F547BE"/>
    <w:rsid w:val="00F600C5"/>
    <w:rsid w:val="00F60B78"/>
    <w:rsid w:val="00F61CBC"/>
    <w:rsid w:val="00F653F9"/>
    <w:rsid w:val="00F67F0B"/>
    <w:rsid w:val="00F7125B"/>
    <w:rsid w:val="00F8058C"/>
    <w:rsid w:val="00F8394A"/>
    <w:rsid w:val="00F85CD4"/>
    <w:rsid w:val="00F9286B"/>
    <w:rsid w:val="00FA1AE0"/>
    <w:rsid w:val="00FA5AD9"/>
    <w:rsid w:val="00FB2C0A"/>
    <w:rsid w:val="00FB67E0"/>
    <w:rsid w:val="00FC274B"/>
    <w:rsid w:val="00FC600A"/>
    <w:rsid w:val="00FD58A2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1C3EBB1A-AC5F-4ADF-AF81-637131F6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88F"/>
    <w:pPr>
      <w:spacing w:after="0" w:line="240" w:lineRule="auto"/>
    </w:pPr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 w:cstheme="minorBidi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eastAsiaTheme="minorHAnsi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rFonts w:eastAsia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rFonts w:eastAsiaTheme="minorHAnsi" w:cstheme="minorBidi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eastAsiaTheme="minorHAnsi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eastAsiaTheme="minorHAnsi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eastAsiaTheme="minorHAnsi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eastAsiaTheme="minorHAnsi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eastAsiaTheme="minorHAns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3950E1"/>
  </w:style>
  <w:style w:type="character" w:styleId="Collegamentovisitato">
    <w:name w:val="FollowedHyperlink"/>
    <w:basedOn w:val="Carpredefinitoparagrafo"/>
    <w:uiPriority w:val="99"/>
    <w:semiHidden/>
    <w:unhideWhenUsed/>
    <w:rsid w:val="007C085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4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C2270"/>
    <w:rPr>
      <w:color w:val="605E5C"/>
      <w:shd w:val="clear" w:color="auto" w:fill="E1DFDD"/>
    </w:rPr>
  </w:style>
  <w:style w:type="paragraph" w:customStyle="1" w:styleId="image">
    <w:name w:val="image"/>
    <w:basedOn w:val="Normale"/>
    <w:rsid w:val="00E713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97CD-65F5-4421-A909-E01CF5FA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2022-08-03T15:27:00Z</cp:lastPrinted>
  <dcterms:created xsi:type="dcterms:W3CDTF">2022-12-05T13:53:00Z</dcterms:created>
  <dcterms:modified xsi:type="dcterms:W3CDTF">2022-12-05T14:01:00Z</dcterms:modified>
</cp:coreProperties>
</file>