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102840" w:rsidRDefault="005F6B93" w:rsidP="008046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2ACF443D" w14:textId="77777777" w:rsidR="007D361E" w:rsidRPr="007D361E" w:rsidRDefault="007D361E" w:rsidP="00804667">
      <w:pPr>
        <w:shd w:val="clear" w:color="auto" w:fill="FFFFFF"/>
        <w:jc w:val="center"/>
        <w:rPr>
          <w:color w:val="000000"/>
          <w:shd w:val="clear" w:color="auto" w:fill="FFFFFF"/>
        </w:rPr>
      </w:pPr>
      <w:bookmarkStart w:id="0" w:name="_gjdgxs" w:colFirst="0" w:colLast="0"/>
      <w:bookmarkEnd w:id="0"/>
      <w:r w:rsidRPr="007D361E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  <w:r w:rsidRPr="007D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6C799F44" w14:textId="77777777" w:rsidR="007D361E" w:rsidRPr="007D361E" w:rsidRDefault="007D361E" w:rsidP="00804667">
      <w:pPr>
        <w:rPr>
          <w:color w:val="000000"/>
          <w:shd w:val="clear" w:color="auto" w:fill="FFFFFF"/>
        </w:rPr>
      </w:pPr>
      <w:r w:rsidRPr="007D361E">
        <w:rPr>
          <w:color w:val="000000"/>
          <w:sz w:val="24"/>
          <w:szCs w:val="24"/>
          <w:shd w:val="clear" w:color="auto" w:fill="FFFFFF"/>
        </w:rPr>
        <w:t>  </w:t>
      </w:r>
    </w:p>
    <w:p w14:paraId="10DFDC02" w14:textId="7264DF9B" w:rsidR="007D361E" w:rsidRDefault="008F3A07" w:rsidP="00804667">
      <w:pPr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SUPERBONUS</w:t>
      </w:r>
      <w:r w:rsidR="007D361E" w:rsidRPr="007D361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 STUDIO COMMERCIALISTI</w:t>
      </w:r>
      <w:r w:rsidR="00580C6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IMPATTO POSITIVO SU PIL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D361E" w:rsidRPr="007D361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="007D361E"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2DE63DB1" w14:textId="77777777" w:rsidR="00B406A9" w:rsidRDefault="00B406A9" w:rsidP="00804667">
      <w:pPr>
        <w:jc w:val="center"/>
        <w:rPr>
          <w:color w:val="000000"/>
          <w:sz w:val="24"/>
          <w:szCs w:val="24"/>
          <w:shd w:val="clear" w:color="auto" w:fill="FFFFFF"/>
        </w:rPr>
      </w:pPr>
    </w:p>
    <w:p w14:paraId="123E5F23" w14:textId="14B11328" w:rsidR="005F788F" w:rsidRDefault="005F788F" w:rsidP="00804667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B406A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Per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Consiglio e della Fondazione nazionali della categoria il costo netto per lo Stato è nettamente inferiore all’incremento del Pil</w:t>
      </w:r>
      <w:r w:rsidR="00B406A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La proposta: un Superbonus </w:t>
      </w:r>
      <w:r w:rsidR="000F1AA7">
        <w:rPr>
          <w:rFonts w:ascii="Arial" w:hAnsi="Arial" w:cs="Arial"/>
          <w:b/>
          <w:bCs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sostenibile</w:t>
      </w:r>
      <w:r w:rsidR="000F1AA7">
        <w:rPr>
          <w:rFonts w:ascii="Arial" w:hAnsi="Arial" w:cs="Arial"/>
          <w:b/>
          <w:bCs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con fondi PNRR</w:t>
      </w:r>
    </w:p>
    <w:p w14:paraId="1AE1738B" w14:textId="77777777" w:rsidR="00804667" w:rsidRDefault="00804667" w:rsidP="00804667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9F54B4F" w14:textId="77777777" w:rsidR="00804667" w:rsidRDefault="008F3A07" w:rsidP="00804667">
      <w:pPr>
        <w:jc w:val="both"/>
        <w:rPr>
          <w:rFonts w:ascii="Arial" w:hAnsi="Arial" w:cs="Arial"/>
          <w:kern w:val="2"/>
          <w:sz w:val="24"/>
          <w:szCs w:val="24"/>
        </w:rPr>
      </w:pPr>
      <w:r w:rsidRPr="00F15857">
        <w:rPr>
          <w:rFonts w:ascii="Arial" w:hAnsi="Arial" w:cs="Arial"/>
          <w:i/>
          <w:iCs/>
          <w:kern w:val="2"/>
          <w:sz w:val="24"/>
          <w:szCs w:val="24"/>
        </w:rPr>
        <w:t xml:space="preserve">Roma, 5 giugno 2023 </w:t>
      </w:r>
      <w:r w:rsidR="00F15857" w:rsidRPr="00F15857">
        <w:rPr>
          <w:rFonts w:ascii="Arial" w:hAnsi="Arial" w:cs="Arial"/>
          <w:i/>
          <w:iCs/>
          <w:kern w:val="2"/>
          <w:sz w:val="24"/>
          <w:szCs w:val="24"/>
        </w:rPr>
        <w:t>-</w:t>
      </w:r>
      <w:r w:rsidR="00F15857" w:rsidRPr="00F15857">
        <w:rPr>
          <w:rFonts w:ascii="Arial" w:hAnsi="Arial" w:cs="Arial"/>
          <w:kern w:val="2"/>
          <w:sz w:val="24"/>
          <w:szCs w:val="24"/>
        </w:rPr>
        <w:t xml:space="preserve"> La </w:t>
      </w:r>
      <w:r w:rsidRPr="00F15857">
        <w:rPr>
          <w:rFonts w:ascii="Arial" w:hAnsi="Arial" w:cs="Arial"/>
          <w:kern w:val="2"/>
          <w:sz w:val="24"/>
          <w:szCs w:val="24"/>
        </w:rPr>
        <w:t xml:space="preserve">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spesa indotta</w:t>
      </w:r>
      <w:r w:rsidRPr="00F15857">
        <w:rPr>
          <w:rFonts w:ascii="Arial" w:hAnsi="Arial" w:cs="Arial"/>
          <w:kern w:val="2"/>
          <w:sz w:val="24"/>
          <w:szCs w:val="24"/>
        </w:rPr>
        <w:t xml:space="preserve"> dal Superbonus 110% per gli anni 2021 e 2022, cioè investimenti aggiuntivi nel settore costruzioni e, per il sistema delle interconnessioni settoriali, in tutti gli altri settori dell’economia, </w:t>
      </w:r>
      <w:r w:rsidR="00F15857" w:rsidRPr="00F15857">
        <w:rPr>
          <w:rFonts w:ascii="Arial" w:hAnsi="Arial" w:cs="Arial"/>
          <w:kern w:val="2"/>
          <w:sz w:val="24"/>
          <w:szCs w:val="24"/>
        </w:rPr>
        <w:t xml:space="preserve">è </w:t>
      </w:r>
      <w:r w:rsidRPr="00F15857">
        <w:rPr>
          <w:rFonts w:ascii="Arial" w:hAnsi="Arial" w:cs="Arial"/>
          <w:kern w:val="2"/>
          <w:sz w:val="24"/>
          <w:szCs w:val="24"/>
        </w:rPr>
        <w:t xml:space="preserve">pari a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96 miliardi di euro</w:t>
      </w:r>
      <w:r w:rsidRPr="00F15857">
        <w:rPr>
          <w:rFonts w:ascii="Arial" w:hAnsi="Arial" w:cs="Arial"/>
          <w:kern w:val="2"/>
          <w:sz w:val="24"/>
          <w:szCs w:val="24"/>
        </w:rPr>
        <w:t xml:space="preserve">. A tale spesa indotta corrisponde un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costo lordo per lo Stato</w:t>
      </w:r>
      <w:r w:rsidRPr="00F15857">
        <w:rPr>
          <w:rFonts w:ascii="Arial" w:hAnsi="Arial" w:cs="Arial"/>
          <w:kern w:val="2"/>
          <w:sz w:val="24"/>
          <w:szCs w:val="24"/>
        </w:rPr>
        <w:t xml:space="preserve">, rappresentato dalle detrazioni fiscali maturate in aggiunta a quelle ordinarie, pari a poco più di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97 miliardi di euro</w:t>
      </w:r>
      <w:r w:rsidRPr="00F15857">
        <w:rPr>
          <w:rFonts w:ascii="Arial" w:hAnsi="Arial" w:cs="Arial"/>
          <w:kern w:val="2"/>
          <w:sz w:val="24"/>
          <w:szCs w:val="24"/>
        </w:rPr>
        <w:t xml:space="preserve">. Di conseguenza, anche se in un orizzonte temporale più ampio corrispondente a circa un quinquennio, si stima un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incremento di Pil di quasi 91 miliardi di euro</w:t>
      </w:r>
      <w:r w:rsidRPr="00F15857">
        <w:rPr>
          <w:rFonts w:ascii="Arial" w:hAnsi="Arial" w:cs="Arial"/>
          <w:kern w:val="2"/>
          <w:sz w:val="24"/>
          <w:szCs w:val="24"/>
        </w:rPr>
        <w:t xml:space="preserve"> e di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gettito fiscale di circa 37 miliardi di euro</w:t>
      </w:r>
      <w:r w:rsidRPr="00F15857">
        <w:rPr>
          <w:rFonts w:ascii="Arial" w:hAnsi="Arial" w:cs="Arial"/>
          <w:kern w:val="2"/>
          <w:sz w:val="24"/>
          <w:szCs w:val="24"/>
        </w:rPr>
        <w:t xml:space="preserve">. Pertanto, a regime, il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 xml:space="preserve">costo netto per lo Stato del Superbonus 110% è stimato pari a 60 miliardi </w:t>
      </w:r>
      <w:r w:rsidRPr="00F15857">
        <w:rPr>
          <w:rFonts w:ascii="Arial" w:hAnsi="Arial" w:cs="Arial"/>
          <w:kern w:val="2"/>
          <w:sz w:val="24"/>
          <w:szCs w:val="24"/>
        </w:rPr>
        <w:t xml:space="preserve">di euro e, quindi,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nettamente inferiore</w:t>
      </w:r>
      <w:r w:rsidRPr="00F15857">
        <w:rPr>
          <w:rFonts w:ascii="Arial" w:hAnsi="Arial" w:cs="Arial"/>
          <w:kern w:val="2"/>
          <w:sz w:val="24"/>
          <w:szCs w:val="24"/>
        </w:rPr>
        <w:t xml:space="preserve">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all’incremento del Pil</w:t>
      </w:r>
      <w:r w:rsidRPr="00F15857">
        <w:rPr>
          <w:rFonts w:ascii="Arial" w:hAnsi="Arial" w:cs="Arial"/>
          <w:kern w:val="2"/>
          <w:sz w:val="24"/>
          <w:szCs w:val="24"/>
        </w:rPr>
        <w:t>.</w:t>
      </w:r>
    </w:p>
    <w:p w14:paraId="4A82760F" w14:textId="77777777" w:rsidR="00804667" w:rsidRDefault="00804667" w:rsidP="00804667">
      <w:pPr>
        <w:jc w:val="both"/>
        <w:rPr>
          <w:rFonts w:ascii="Arial" w:hAnsi="Arial" w:cs="Arial"/>
          <w:kern w:val="2"/>
          <w:sz w:val="24"/>
          <w:szCs w:val="24"/>
        </w:rPr>
      </w:pPr>
    </w:p>
    <w:p w14:paraId="4ECB06D4" w14:textId="4B3FC236" w:rsidR="00F15857" w:rsidRDefault="00B406A9" w:rsidP="00804667">
      <w:pPr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È quanto emerge </w:t>
      </w:r>
      <w:r w:rsidR="00F15857" w:rsidRPr="00F15857">
        <w:rPr>
          <w:rFonts w:ascii="Arial" w:hAnsi="Arial" w:cs="Arial"/>
          <w:kern w:val="2"/>
          <w:sz w:val="24"/>
          <w:szCs w:val="24"/>
        </w:rPr>
        <w:t>da uno studio del Consig</w:t>
      </w:r>
      <w:r w:rsidR="00580C6D">
        <w:rPr>
          <w:rFonts w:ascii="Arial" w:hAnsi="Arial" w:cs="Arial"/>
          <w:kern w:val="2"/>
          <w:sz w:val="24"/>
          <w:szCs w:val="24"/>
        </w:rPr>
        <w:t>lio e della Fondazione nazional</w:t>
      </w:r>
      <w:r w:rsidR="00DC4363">
        <w:rPr>
          <w:rFonts w:ascii="Arial" w:hAnsi="Arial" w:cs="Arial"/>
          <w:kern w:val="2"/>
          <w:sz w:val="24"/>
          <w:szCs w:val="24"/>
        </w:rPr>
        <w:t>i</w:t>
      </w:r>
      <w:r w:rsidR="00F15857" w:rsidRPr="00F15857">
        <w:rPr>
          <w:rFonts w:ascii="Arial" w:hAnsi="Arial" w:cs="Arial"/>
          <w:kern w:val="2"/>
          <w:sz w:val="24"/>
          <w:szCs w:val="24"/>
        </w:rPr>
        <w:t xml:space="preserve"> dei commercialisti, </w:t>
      </w:r>
      <w:r w:rsidR="00EC3325">
        <w:rPr>
          <w:rFonts w:ascii="Arial" w:hAnsi="Arial" w:cs="Arial"/>
          <w:kern w:val="2"/>
          <w:sz w:val="24"/>
          <w:szCs w:val="24"/>
        </w:rPr>
        <w:t>che aggiorna</w:t>
      </w:r>
      <w:r w:rsidR="005737D5">
        <w:rPr>
          <w:rFonts w:ascii="Arial" w:hAnsi="Arial" w:cs="Arial"/>
          <w:kern w:val="2"/>
          <w:sz w:val="24"/>
          <w:szCs w:val="24"/>
        </w:rPr>
        <w:t xml:space="preserve"> con i dati disponili al 31</w:t>
      </w:r>
      <w:r w:rsidR="00DC4363">
        <w:rPr>
          <w:rFonts w:ascii="Arial" w:hAnsi="Arial" w:cs="Arial"/>
          <w:kern w:val="2"/>
          <w:sz w:val="24"/>
          <w:szCs w:val="24"/>
        </w:rPr>
        <w:t xml:space="preserve"> dicembre </w:t>
      </w:r>
      <w:r w:rsidR="005737D5">
        <w:rPr>
          <w:rFonts w:ascii="Arial" w:hAnsi="Arial" w:cs="Arial"/>
          <w:kern w:val="2"/>
          <w:sz w:val="24"/>
          <w:szCs w:val="24"/>
        </w:rPr>
        <w:t>2022</w:t>
      </w:r>
      <w:r w:rsidR="00EC3325">
        <w:rPr>
          <w:rFonts w:ascii="Arial" w:hAnsi="Arial" w:cs="Arial"/>
          <w:kern w:val="2"/>
          <w:sz w:val="24"/>
          <w:szCs w:val="24"/>
        </w:rPr>
        <w:t xml:space="preserve"> il precedent</w:t>
      </w:r>
      <w:r w:rsidR="005737D5">
        <w:rPr>
          <w:rFonts w:ascii="Arial" w:hAnsi="Arial" w:cs="Arial"/>
          <w:kern w:val="2"/>
          <w:sz w:val="24"/>
          <w:szCs w:val="24"/>
        </w:rPr>
        <w:t>e pubblicato sullo stesso tema a dicembre dello scorso anno</w:t>
      </w:r>
      <w:r w:rsidR="00EC3325">
        <w:rPr>
          <w:rFonts w:ascii="Arial" w:hAnsi="Arial" w:cs="Arial"/>
          <w:kern w:val="2"/>
          <w:sz w:val="24"/>
          <w:szCs w:val="24"/>
        </w:rPr>
        <w:t xml:space="preserve">, </w:t>
      </w:r>
      <w:r w:rsidR="00F15857" w:rsidRPr="00F15857">
        <w:rPr>
          <w:rFonts w:ascii="Arial" w:hAnsi="Arial" w:cs="Arial"/>
          <w:kern w:val="2"/>
          <w:sz w:val="24"/>
          <w:szCs w:val="24"/>
        </w:rPr>
        <w:t>basato su un modello</w:t>
      </w:r>
      <w:r w:rsidR="00604E37">
        <w:rPr>
          <w:rFonts w:ascii="Arial" w:hAnsi="Arial" w:cs="Arial"/>
          <w:kern w:val="2"/>
          <w:sz w:val="24"/>
          <w:szCs w:val="24"/>
        </w:rPr>
        <w:t xml:space="preserve"> teorico</w:t>
      </w:r>
      <w:r w:rsidR="00F15857" w:rsidRPr="00F15857">
        <w:rPr>
          <w:rFonts w:ascii="Arial" w:hAnsi="Arial" w:cs="Arial"/>
          <w:kern w:val="2"/>
          <w:sz w:val="24"/>
          <w:szCs w:val="24"/>
        </w:rPr>
        <w:t xml:space="preserve"> appositamente</w:t>
      </w:r>
      <w:r w:rsidR="00604E37">
        <w:rPr>
          <w:rFonts w:ascii="Arial" w:hAnsi="Arial" w:cs="Arial"/>
          <w:kern w:val="2"/>
          <w:sz w:val="24"/>
          <w:szCs w:val="24"/>
        </w:rPr>
        <w:t xml:space="preserve"> elaborato</w:t>
      </w:r>
      <w:r>
        <w:rPr>
          <w:rFonts w:ascii="Arial" w:hAnsi="Arial" w:cs="Arial"/>
          <w:kern w:val="2"/>
          <w:sz w:val="24"/>
          <w:szCs w:val="24"/>
        </w:rPr>
        <w:t>.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>S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econdo </w:t>
      </w:r>
      <w:r>
        <w:rPr>
          <w:rFonts w:ascii="Arial" w:hAnsi="Arial" w:cs="Arial"/>
          <w:kern w:val="2"/>
          <w:sz w:val="24"/>
          <w:szCs w:val="24"/>
        </w:rPr>
        <w:t xml:space="preserve">il documento - curato dai ricercatori della Fondazione </w:t>
      </w:r>
      <w:r w:rsidRPr="00580C6D">
        <w:rPr>
          <w:rFonts w:ascii="Arial" w:hAnsi="Arial" w:cs="Arial"/>
          <w:b/>
          <w:kern w:val="2"/>
          <w:sz w:val="24"/>
          <w:szCs w:val="24"/>
        </w:rPr>
        <w:t xml:space="preserve">Tommaso Di Nardo, Pasquale Saggese </w:t>
      </w:r>
      <w:r w:rsidRPr="00DC4363">
        <w:rPr>
          <w:rFonts w:ascii="Arial" w:hAnsi="Arial" w:cs="Arial"/>
          <w:bCs/>
          <w:kern w:val="2"/>
          <w:sz w:val="24"/>
          <w:szCs w:val="24"/>
        </w:rPr>
        <w:t>ed</w:t>
      </w:r>
      <w:r w:rsidRPr="00580C6D">
        <w:rPr>
          <w:rFonts w:ascii="Arial" w:hAnsi="Arial" w:cs="Arial"/>
          <w:b/>
          <w:kern w:val="2"/>
          <w:sz w:val="24"/>
          <w:szCs w:val="24"/>
        </w:rPr>
        <w:t xml:space="preserve"> Enrico Zanetti</w:t>
      </w:r>
      <w:r>
        <w:rPr>
          <w:rFonts w:ascii="Arial" w:hAnsi="Arial" w:cs="Arial"/>
          <w:kern w:val="2"/>
          <w:sz w:val="24"/>
          <w:szCs w:val="24"/>
        </w:rPr>
        <w:t xml:space="preserve"> e dal </w:t>
      </w:r>
      <w:r w:rsidR="00DC4363">
        <w:rPr>
          <w:rFonts w:ascii="Arial" w:hAnsi="Arial" w:cs="Arial"/>
          <w:kern w:val="2"/>
          <w:sz w:val="24"/>
          <w:szCs w:val="24"/>
        </w:rPr>
        <w:t>t</w:t>
      </w:r>
      <w:r>
        <w:rPr>
          <w:rFonts w:ascii="Arial" w:hAnsi="Arial" w:cs="Arial"/>
          <w:kern w:val="2"/>
          <w:sz w:val="24"/>
          <w:szCs w:val="24"/>
        </w:rPr>
        <w:t xml:space="preserve">esoriere nazionale con delega alla fiscalità </w:t>
      </w:r>
      <w:r w:rsidRPr="00580C6D">
        <w:rPr>
          <w:rFonts w:ascii="Arial" w:hAnsi="Arial" w:cs="Arial"/>
          <w:b/>
          <w:kern w:val="2"/>
          <w:sz w:val="24"/>
          <w:szCs w:val="24"/>
        </w:rPr>
        <w:t>Salvatore Regalbuto</w:t>
      </w:r>
      <w:r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Pr="00B406A9">
        <w:rPr>
          <w:rFonts w:ascii="Arial" w:hAnsi="Arial" w:cs="Arial"/>
          <w:bCs/>
          <w:kern w:val="2"/>
          <w:sz w:val="24"/>
          <w:szCs w:val="24"/>
        </w:rPr>
        <w:t xml:space="preserve">- 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il </w:t>
      </w:r>
      <w:r w:rsidR="008F3A07" w:rsidRPr="00604E37">
        <w:rPr>
          <w:rFonts w:ascii="Arial" w:hAnsi="Arial" w:cs="Arial"/>
          <w:b/>
          <w:bCs/>
          <w:kern w:val="2"/>
          <w:sz w:val="24"/>
          <w:szCs w:val="24"/>
        </w:rPr>
        <w:t>moltiplicatore sul Pil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 della spesa aggiuntiva indotta dal Superbonus è pari a </w:t>
      </w:r>
      <w:r w:rsidR="008F3A07" w:rsidRPr="00604E37">
        <w:rPr>
          <w:rFonts w:ascii="Arial" w:hAnsi="Arial" w:cs="Arial"/>
          <w:b/>
          <w:bCs/>
          <w:kern w:val="2"/>
          <w:sz w:val="24"/>
          <w:szCs w:val="24"/>
        </w:rPr>
        <w:t>0,95</w:t>
      </w:r>
      <w:r w:rsidR="00DC4363">
        <w:rPr>
          <w:rFonts w:ascii="Arial" w:hAnsi="Arial" w:cs="Arial"/>
          <w:kern w:val="2"/>
          <w:sz w:val="24"/>
          <w:szCs w:val="24"/>
        </w:rPr>
        <w:t>,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 mentre l’effetto di </w:t>
      </w:r>
      <w:r w:rsidR="008F3A07" w:rsidRPr="00604E37">
        <w:rPr>
          <w:rFonts w:ascii="Arial" w:hAnsi="Arial" w:cs="Arial"/>
          <w:b/>
          <w:bCs/>
          <w:kern w:val="2"/>
          <w:sz w:val="24"/>
          <w:szCs w:val="24"/>
        </w:rPr>
        <w:t>retroazione fiscale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, cioè l’incremento di gettito rispetto all’incremento di spesa pubblica, è pari al </w:t>
      </w:r>
      <w:r w:rsidR="008F3A07" w:rsidRPr="00604E37">
        <w:rPr>
          <w:rFonts w:ascii="Arial" w:hAnsi="Arial" w:cs="Arial"/>
          <w:b/>
          <w:bCs/>
          <w:kern w:val="2"/>
          <w:sz w:val="24"/>
          <w:szCs w:val="24"/>
        </w:rPr>
        <w:t>38%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. </w:t>
      </w:r>
      <w:r w:rsidR="00F15857">
        <w:rPr>
          <w:rFonts w:ascii="Arial" w:hAnsi="Arial" w:cs="Arial"/>
          <w:kern w:val="2"/>
          <w:sz w:val="24"/>
          <w:szCs w:val="24"/>
        </w:rPr>
        <w:t>S</w:t>
      </w:r>
      <w:r w:rsidR="00F15857" w:rsidRPr="00F15857">
        <w:rPr>
          <w:rFonts w:ascii="Arial" w:hAnsi="Arial" w:cs="Arial"/>
          <w:kern w:val="2"/>
          <w:sz w:val="24"/>
          <w:szCs w:val="24"/>
        </w:rPr>
        <w:t xml:space="preserve">e si considera adeguatamente l’effetto di retroazione fiscale, l’impatto del Superbonus 110% sulle finanze pubbliche è </w:t>
      </w:r>
      <w:r w:rsidR="00F15857">
        <w:rPr>
          <w:rFonts w:ascii="Arial" w:hAnsi="Arial" w:cs="Arial"/>
          <w:kern w:val="2"/>
          <w:sz w:val="24"/>
          <w:szCs w:val="24"/>
        </w:rPr>
        <w:t xml:space="preserve">dunque </w:t>
      </w:r>
      <w:r w:rsidR="00F15857" w:rsidRPr="00604E37">
        <w:rPr>
          <w:rFonts w:ascii="Arial" w:hAnsi="Arial" w:cs="Arial"/>
          <w:b/>
          <w:bCs/>
          <w:kern w:val="2"/>
          <w:sz w:val="24"/>
          <w:szCs w:val="24"/>
        </w:rPr>
        <w:t>addirittura positivo</w:t>
      </w:r>
      <w:r w:rsidR="00F15857" w:rsidRPr="00F15857">
        <w:rPr>
          <w:rFonts w:ascii="Arial" w:hAnsi="Arial" w:cs="Arial"/>
          <w:kern w:val="2"/>
          <w:sz w:val="24"/>
          <w:szCs w:val="24"/>
        </w:rPr>
        <w:t xml:space="preserve">, nel senso che l’incremento di Pil generato comunque a debito, cioè facendo deficit, sarebbe </w:t>
      </w:r>
      <w:r w:rsidR="00F15857" w:rsidRPr="00604E37">
        <w:rPr>
          <w:rFonts w:ascii="Arial" w:hAnsi="Arial" w:cs="Arial"/>
          <w:b/>
          <w:bCs/>
          <w:kern w:val="2"/>
          <w:sz w:val="24"/>
          <w:szCs w:val="24"/>
        </w:rPr>
        <w:t>superiore all’impatto sul debito</w:t>
      </w:r>
      <w:r w:rsidR="00F15857" w:rsidRPr="00F15857">
        <w:rPr>
          <w:rFonts w:ascii="Arial" w:hAnsi="Arial" w:cs="Arial"/>
          <w:kern w:val="2"/>
          <w:sz w:val="24"/>
          <w:szCs w:val="24"/>
        </w:rPr>
        <w:t xml:space="preserve">, migliorando, in termini percentuali, il </w:t>
      </w:r>
      <w:r w:rsidR="00F15857" w:rsidRPr="00604E37">
        <w:rPr>
          <w:rFonts w:ascii="Arial" w:hAnsi="Arial" w:cs="Arial"/>
          <w:b/>
          <w:bCs/>
          <w:kern w:val="2"/>
          <w:sz w:val="24"/>
          <w:szCs w:val="24"/>
        </w:rPr>
        <w:t>rapporto debito/pil</w:t>
      </w:r>
      <w:r w:rsidR="00F15857" w:rsidRPr="00F15857">
        <w:rPr>
          <w:rFonts w:ascii="Arial" w:hAnsi="Arial" w:cs="Arial"/>
          <w:kern w:val="2"/>
          <w:sz w:val="24"/>
          <w:szCs w:val="24"/>
        </w:rPr>
        <w:t>.</w:t>
      </w:r>
    </w:p>
    <w:p w14:paraId="52581C07" w14:textId="77777777" w:rsidR="00804667" w:rsidRDefault="00804667" w:rsidP="00804667">
      <w:pPr>
        <w:jc w:val="both"/>
        <w:rPr>
          <w:rFonts w:ascii="Arial" w:hAnsi="Arial" w:cs="Arial"/>
          <w:kern w:val="2"/>
          <w:sz w:val="24"/>
          <w:szCs w:val="24"/>
        </w:rPr>
      </w:pPr>
    </w:p>
    <w:p w14:paraId="42991919" w14:textId="74502796" w:rsidR="00580C6D" w:rsidRDefault="00F15857" w:rsidP="00804667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5857">
        <w:rPr>
          <w:rFonts w:ascii="Arial" w:hAnsi="Arial" w:cs="Arial"/>
          <w:kern w:val="2"/>
          <w:sz w:val="24"/>
          <w:szCs w:val="24"/>
        </w:rPr>
        <w:t>“Il nostro documento</w:t>
      </w:r>
      <w:r w:rsidR="00604E37">
        <w:rPr>
          <w:rFonts w:ascii="Arial" w:hAnsi="Arial" w:cs="Arial"/>
          <w:kern w:val="2"/>
          <w:sz w:val="24"/>
          <w:szCs w:val="24"/>
        </w:rPr>
        <w:t xml:space="preserve"> </w:t>
      </w:r>
      <w:r w:rsidRPr="00F15857">
        <w:rPr>
          <w:rFonts w:ascii="Arial" w:hAnsi="Arial" w:cs="Arial"/>
          <w:kern w:val="2"/>
          <w:sz w:val="24"/>
          <w:szCs w:val="24"/>
        </w:rPr>
        <w:t xml:space="preserve">– spiega il presidente del Consiglio nazionale dei commercialisti, </w:t>
      </w:r>
      <w:r w:rsidRPr="005F788F">
        <w:rPr>
          <w:rFonts w:ascii="Arial" w:hAnsi="Arial" w:cs="Arial"/>
          <w:b/>
          <w:bCs/>
          <w:kern w:val="2"/>
          <w:sz w:val="24"/>
          <w:szCs w:val="24"/>
        </w:rPr>
        <w:t>Elbano de Nuccio</w:t>
      </w:r>
      <w:r w:rsidRPr="00F15857">
        <w:rPr>
          <w:rFonts w:ascii="Arial" w:hAnsi="Arial" w:cs="Arial"/>
          <w:kern w:val="2"/>
          <w:sz w:val="24"/>
          <w:szCs w:val="24"/>
        </w:rPr>
        <w:t xml:space="preserve"> </w:t>
      </w:r>
      <w:r w:rsidR="00580C6D">
        <w:rPr>
          <w:rFonts w:ascii="Arial" w:hAnsi="Arial" w:cs="Arial"/>
          <w:kern w:val="2"/>
          <w:sz w:val="24"/>
          <w:szCs w:val="24"/>
        </w:rPr>
        <w:t>–</w:t>
      </w:r>
      <w:r w:rsidRPr="00F15857">
        <w:rPr>
          <w:rFonts w:ascii="Arial" w:hAnsi="Arial" w:cs="Arial"/>
          <w:kern w:val="2"/>
          <w:sz w:val="24"/>
          <w:szCs w:val="24"/>
        </w:rPr>
        <w:t xml:space="preserve"> </w:t>
      </w:r>
      <w:r w:rsidR="00580C6D">
        <w:rPr>
          <w:rFonts w:ascii="Arial" w:hAnsi="Arial" w:cs="Arial"/>
          <w:kern w:val="2"/>
          <w:sz w:val="24"/>
          <w:szCs w:val="24"/>
        </w:rPr>
        <w:t xml:space="preserve">rappresenta un contributo tecnico che può orientare il decisore politico a riconsiderare il meccanismo della cessione del credito anche nell’ambito della proposta avanzata dal Consiglio </w:t>
      </w:r>
      <w:r w:rsidR="00DC4363">
        <w:rPr>
          <w:rFonts w:ascii="Arial" w:hAnsi="Arial" w:cs="Arial"/>
          <w:kern w:val="2"/>
          <w:sz w:val="24"/>
          <w:szCs w:val="24"/>
        </w:rPr>
        <w:t>n</w:t>
      </w:r>
      <w:r w:rsidR="00580C6D">
        <w:rPr>
          <w:rFonts w:ascii="Arial" w:hAnsi="Arial" w:cs="Arial"/>
          <w:kern w:val="2"/>
          <w:sz w:val="24"/>
          <w:szCs w:val="24"/>
        </w:rPr>
        <w:t>azionale</w:t>
      </w:r>
      <w:r w:rsidR="00EC3325">
        <w:rPr>
          <w:rFonts w:ascii="Arial" w:hAnsi="Arial" w:cs="Arial"/>
          <w:kern w:val="2"/>
          <w:sz w:val="24"/>
          <w:szCs w:val="24"/>
        </w:rPr>
        <w:t xml:space="preserve"> </w:t>
      </w:r>
      <w:r w:rsidR="00EC3325" w:rsidRPr="00604E37">
        <w:rPr>
          <w:rFonts w:ascii="Arial" w:hAnsi="Arial" w:cs="Arial"/>
          <w:kern w:val="2"/>
          <w:sz w:val="24"/>
          <w:szCs w:val="24"/>
        </w:rPr>
        <w:t>di inserire</w:t>
      </w:r>
      <w:r w:rsidR="00EC3325" w:rsidRPr="00604E37">
        <w:rPr>
          <w:rFonts w:ascii="Arial" w:eastAsia="Times New Roman" w:hAnsi="Arial" w:cs="Arial"/>
          <w:bCs/>
          <w:sz w:val="24"/>
          <w:szCs w:val="24"/>
        </w:rPr>
        <w:t xml:space="preserve">, per gli anni 2024 e 2025, un  </w:t>
      </w:r>
      <w:r w:rsidR="00EC3325" w:rsidRPr="00604E37">
        <w:rPr>
          <w:rFonts w:ascii="Arial" w:eastAsia="Times New Roman" w:hAnsi="Arial" w:cs="Arial"/>
          <w:b/>
          <w:sz w:val="24"/>
          <w:szCs w:val="24"/>
        </w:rPr>
        <w:t>superbonus “sostenibile”</w:t>
      </w:r>
      <w:r w:rsidR="00EC3325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EC3325" w:rsidRPr="00604E37">
        <w:rPr>
          <w:rFonts w:ascii="Arial" w:eastAsia="Times New Roman" w:hAnsi="Arial" w:cs="Arial"/>
          <w:sz w:val="24"/>
          <w:szCs w:val="24"/>
        </w:rPr>
        <w:t xml:space="preserve">mirato </w:t>
      </w:r>
      <w:r w:rsidR="00EC3325">
        <w:rPr>
          <w:rFonts w:ascii="Arial" w:eastAsia="Times New Roman" w:hAnsi="Arial" w:cs="Arial"/>
          <w:sz w:val="24"/>
          <w:szCs w:val="24"/>
        </w:rPr>
        <w:t>cioè agli</w:t>
      </w:r>
      <w:r w:rsidR="00EC3325" w:rsidRPr="00604E37">
        <w:rPr>
          <w:rFonts w:ascii="Arial" w:eastAsia="Times New Roman" w:hAnsi="Arial" w:cs="Arial"/>
          <w:sz w:val="24"/>
          <w:szCs w:val="24"/>
        </w:rPr>
        <w:t xml:space="preserve"> interventi di riqualificazione energetica degli </w:t>
      </w:r>
      <w:r w:rsidR="00EC3325">
        <w:rPr>
          <w:rFonts w:ascii="Arial" w:eastAsia="Times New Roman" w:hAnsi="Arial" w:cs="Arial"/>
          <w:b/>
          <w:bCs/>
          <w:sz w:val="24"/>
          <w:szCs w:val="24"/>
        </w:rPr>
        <w:t>edifici meno performanti</w:t>
      </w:r>
      <w:r w:rsidR="00EC3325" w:rsidRPr="00604E37">
        <w:rPr>
          <w:rFonts w:ascii="Arial" w:eastAsia="Times New Roman" w:hAnsi="Arial" w:cs="Arial"/>
          <w:sz w:val="24"/>
          <w:szCs w:val="24"/>
        </w:rPr>
        <w:t xml:space="preserve"> sotto tale profilo e realizzati su grandi condomini, immobili destinati a edilizia residenziale pubblica e a </w:t>
      </w:r>
      <w:r w:rsidR="00EC3325" w:rsidRPr="000F1AA7">
        <w:rPr>
          <w:rFonts w:ascii="Arial" w:eastAsia="Times New Roman" w:hAnsi="Arial" w:cs="Arial"/>
          <w:b/>
          <w:bCs/>
          <w:sz w:val="24"/>
          <w:szCs w:val="24"/>
        </w:rPr>
        <w:t>beneficio dei soli nuclei familiari meno abbienti</w:t>
      </w:r>
      <w:r w:rsidR="00EC3325" w:rsidRPr="00604E37">
        <w:rPr>
          <w:rFonts w:ascii="Arial" w:eastAsia="Times New Roman" w:hAnsi="Arial" w:cs="Arial"/>
          <w:sz w:val="24"/>
          <w:szCs w:val="24"/>
        </w:rPr>
        <w:t xml:space="preserve">. </w:t>
      </w:r>
      <w:r w:rsidR="00EC3325">
        <w:rPr>
          <w:rFonts w:ascii="Arial" w:eastAsia="Times New Roman" w:hAnsi="Arial" w:cs="Arial"/>
          <w:bCs/>
          <w:sz w:val="24"/>
          <w:szCs w:val="24"/>
        </w:rPr>
        <w:t>Parte delle risorse</w:t>
      </w:r>
      <w:r w:rsidR="00EC3325" w:rsidRPr="00604E37">
        <w:rPr>
          <w:rFonts w:ascii="Arial" w:eastAsia="Times New Roman" w:hAnsi="Arial" w:cs="Arial"/>
          <w:bCs/>
          <w:sz w:val="24"/>
          <w:szCs w:val="24"/>
        </w:rPr>
        <w:t xml:space="preserve"> potrebbero essere destinate anche alle </w:t>
      </w:r>
      <w:r w:rsidR="00EC3325" w:rsidRPr="000F1AA7">
        <w:rPr>
          <w:rFonts w:ascii="Arial" w:eastAsia="Times New Roman" w:hAnsi="Arial" w:cs="Arial"/>
          <w:b/>
          <w:sz w:val="24"/>
          <w:szCs w:val="24"/>
        </w:rPr>
        <w:t>imprese</w:t>
      </w:r>
      <w:r w:rsidR="00EC3325" w:rsidRPr="00604E37">
        <w:rPr>
          <w:rFonts w:ascii="Arial" w:eastAsia="Times New Roman" w:hAnsi="Arial" w:cs="Arial"/>
          <w:bCs/>
          <w:sz w:val="24"/>
          <w:szCs w:val="24"/>
        </w:rPr>
        <w:t>, attraverso meccanismi di detrazione fiscale o di riconoscimento di crediti di imposta connessi all’installazione di sistemi di autoproduzione di energia attraverso l’utilizzo di fonti rinnovabili, in particolare di quella solare fotovoltaica</w:t>
      </w:r>
      <w:r w:rsidR="00EC3325">
        <w:rPr>
          <w:rFonts w:ascii="Arial" w:eastAsia="Times New Roman" w:hAnsi="Arial" w:cs="Arial"/>
          <w:bCs/>
          <w:sz w:val="24"/>
          <w:szCs w:val="24"/>
        </w:rPr>
        <w:t>”</w:t>
      </w:r>
      <w:r w:rsidR="00804667">
        <w:rPr>
          <w:rFonts w:ascii="Arial" w:eastAsia="Times New Roman" w:hAnsi="Arial" w:cs="Arial"/>
          <w:bCs/>
          <w:sz w:val="24"/>
          <w:szCs w:val="24"/>
        </w:rPr>
        <w:t>.</w:t>
      </w:r>
    </w:p>
    <w:p w14:paraId="6897E3C9" w14:textId="77777777" w:rsidR="00804667" w:rsidRDefault="00804667" w:rsidP="00804667">
      <w:pPr>
        <w:jc w:val="both"/>
        <w:rPr>
          <w:rFonts w:ascii="Arial" w:hAnsi="Arial" w:cs="Arial"/>
          <w:kern w:val="2"/>
          <w:sz w:val="24"/>
          <w:szCs w:val="24"/>
        </w:rPr>
      </w:pPr>
    </w:p>
    <w:p w14:paraId="4E789C6B" w14:textId="336A31D1" w:rsidR="008F3A07" w:rsidRDefault="00EC3325" w:rsidP="00804667">
      <w:pPr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“A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ttraverso </w:t>
      </w:r>
      <w:r w:rsidR="005F788F">
        <w:rPr>
          <w:rFonts w:ascii="Arial" w:hAnsi="Arial" w:cs="Arial"/>
          <w:kern w:val="2"/>
          <w:sz w:val="24"/>
          <w:szCs w:val="24"/>
        </w:rPr>
        <w:t>il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 modello teorico </w:t>
      </w:r>
      <w:r w:rsidR="00604E37">
        <w:rPr>
          <w:rFonts w:ascii="Arial" w:hAnsi="Arial" w:cs="Arial"/>
          <w:kern w:val="2"/>
          <w:sz w:val="24"/>
          <w:szCs w:val="24"/>
        </w:rPr>
        <w:t>del</w:t>
      </w:r>
      <w:r>
        <w:rPr>
          <w:rFonts w:ascii="Arial" w:hAnsi="Arial" w:cs="Arial"/>
          <w:kern w:val="2"/>
          <w:sz w:val="24"/>
          <w:szCs w:val="24"/>
        </w:rPr>
        <w:t xml:space="preserve"> Consiglio e de</w:t>
      </w:r>
      <w:r w:rsidR="005F788F">
        <w:rPr>
          <w:rFonts w:ascii="Arial" w:hAnsi="Arial" w:cs="Arial"/>
          <w:kern w:val="2"/>
          <w:sz w:val="24"/>
          <w:szCs w:val="24"/>
        </w:rPr>
        <w:t>lla Fondazione nazional</w:t>
      </w:r>
      <w:r w:rsidR="00604E37">
        <w:rPr>
          <w:rFonts w:ascii="Arial" w:hAnsi="Arial" w:cs="Arial"/>
          <w:kern w:val="2"/>
          <w:sz w:val="24"/>
          <w:szCs w:val="24"/>
        </w:rPr>
        <w:t>i</w:t>
      </w:r>
      <w:r>
        <w:rPr>
          <w:rFonts w:ascii="Arial" w:hAnsi="Arial" w:cs="Arial"/>
          <w:kern w:val="2"/>
          <w:sz w:val="24"/>
          <w:szCs w:val="24"/>
        </w:rPr>
        <w:t xml:space="preserve"> – aggiunge </w:t>
      </w:r>
      <w:r w:rsidRPr="00EC3325">
        <w:rPr>
          <w:rFonts w:ascii="Arial" w:hAnsi="Arial" w:cs="Arial"/>
          <w:b/>
          <w:kern w:val="2"/>
          <w:sz w:val="24"/>
          <w:szCs w:val="24"/>
        </w:rPr>
        <w:t>Salvatore Regalbuto</w:t>
      </w:r>
      <w:r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DC4363">
        <w:rPr>
          <w:rFonts w:ascii="Arial" w:hAnsi="Arial" w:cs="Arial"/>
          <w:kern w:val="2"/>
          <w:sz w:val="24"/>
          <w:szCs w:val="24"/>
        </w:rPr>
        <w:t>–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r w:rsidR="008F3A07" w:rsidRPr="00EC3325">
        <w:rPr>
          <w:rFonts w:ascii="Arial" w:hAnsi="Arial" w:cs="Arial"/>
          <w:b/>
          <w:sz w:val="24"/>
          <w:szCs w:val="24"/>
        </w:rPr>
        <w:t>stimia</w:t>
      </w:r>
      <w:r w:rsidRPr="00EC3325">
        <w:rPr>
          <w:rFonts w:ascii="Arial" w:hAnsi="Arial" w:cs="Arial"/>
          <w:b/>
          <w:sz w:val="24"/>
          <w:szCs w:val="24"/>
        </w:rPr>
        <w:t>mo un impatto molto positivo</w:t>
      </w:r>
      <w:r>
        <w:rPr>
          <w:rFonts w:ascii="Arial" w:hAnsi="Arial" w:cs="Arial"/>
          <w:sz w:val="24"/>
          <w:szCs w:val="24"/>
        </w:rPr>
        <w:t xml:space="preserve"> dei bonus edilizi, in particolare del </w:t>
      </w:r>
      <w:r w:rsidR="008F3A07" w:rsidRPr="00F15857">
        <w:rPr>
          <w:rFonts w:ascii="Arial" w:hAnsi="Arial" w:cs="Arial"/>
          <w:sz w:val="24"/>
          <w:szCs w:val="24"/>
        </w:rPr>
        <w:t>Superbonus 110%</w:t>
      </w:r>
      <w:r>
        <w:rPr>
          <w:rFonts w:ascii="Arial" w:hAnsi="Arial" w:cs="Arial"/>
          <w:sz w:val="24"/>
          <w:szCs w:val="24"/>
        </w:rPr>
        <w:t>,</w:t>
      </w:r>
      <w:r w:rsidR="008F3A07" w:rsidRPr="00F15857">
        <w:rPr>
          <w:rFonts w:ascii="Arial" w:hAnsi="Arial" w:cs="Arial"/>
          <w:sz w:val="24"/>
          <w:szCs w:val="24"/>
        </w:rPr>
        <w:t xml:space="preserve"> sugli investimenti in edilizia e, quindi, sul Pil, oltre che sull’</w:t>
      </w:r>
      <w:r w:rsidR="008F3A07" w:rsidRPr="00604E37">
        <w:rPr>
          <w:rFonts w:ascii="Arial" w:hAnsi="Arial" w:cs="Arial"/>
          <w:b/>
          <w:bCs/>
          <w:sz w:val="24"/>
          <w:szCs w:val="24"/>
        </w:rPr>
        <w:t>occupazione</w:t>
      </w:r>
      <w:r w:rsidR="008F3A07" w:rsidRPr="00F15857">
        <w:rPr>
          <w:rFonts w:ascii="Arial" w:hAnsi="Arial" w:cs="Arial"/>
          <w:sz w:val="24"/>
          <w:szCs w:val="24"/>
        </w:rPr>
        <w:t>.</w:t>
      </w:r>
      <w:r w:rsidR="00604E37">
        <w:rPr>
          <w:rFonts w:ascii="Arial" w:hAnsi="Arial" w:cs="Arial"/>
          <w:sz w:val="24"/>
          <w:szCs w:val="24"/>
        </w:rPr>
        <w:t xml:space="preserve"> </w:t>
      </w:r>
      <w:r w:rsidR="005F788F">
        <w:rPr>
          <w:rFonts w:ascii="Arial" w:hAnsi="Arial" w:cs="Arial"/>
          <w:kern w:val="2"/>
          <w:sz w:val="24"/>
          <w:szCs w:val="24"/>
        </w:rPr>
        <w:t>S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ebbene non si possa dire che le agevolazioni in edilizia si ripaghino </w:t>
      </w:r>
      <w:r w:rsidR="008F3A07" w:rsidRPr="00F15857">
        <w:rPr>
          <w:rFonts w:ascii="Arial" w:hAnsi="Arial" w:cs="Arial"/>
          <w:kern w:val="2"/>
          <w:sz w:val="24"/>
          <w:szCs w:val="24"/>
        </w:rPr>
        <w:lastRenderedPageBreak/>
        <w:t xml:space="preserve">totalmente, si può certamente asserire che tali agevolazioni hanno una </w:t>
      </w:r>
      <w:r w:rsidR="008F3A07" w:rsidRPr="00604E37">
        <w:rPr>
          <w:rFonts w:ascii="Arial" w:hAnsi="Arial" w:cs="Arial"/>
          <w:b/>
          <w:bCs/>
          <w:kern w:val="2"/>
          <w:sz w:val="24"/>
          <w:szCs w:val="24"/>
        </w:rPr>
        <w:t>elevata capacità di attivazione economica e fiscale</w:t>
      </w:r>
      <w:r w:rsidR="008F3A07" w:rsidRPr="00F15857">
        <w:rPr>
          <w:rFonts w:ascii="Arial" w:hAnsi="Arial" w:cs="Arial"/>
          <w:kern w:val="2"/>
          <w:sz w:val="24"/>
          <w:szCs w:val="24"/>
        </w:rPr>
        <w:t xml:space="preserve"> con importanti ricadute in termini ambientali e occupazionali e anche sui </w:t>
      </w:r>
      <w:r w:rsidR="008F3A07" w:rsidRPr="00604E37">
        <w:rPr>
          <w:rFonts w:ascii="Arial" w:hAnsi="Arial" w:cs="Arial"/>
          <w:b/>
          <w:bCs/>
          <w:kern w:val="2"/>
          <w:sz w:val="24"/>
          <w:szCs w:val="24"/>
        </w:rPr>
        <w:t>fondamentali di finanza pubblica</w:t>
      </w:r>
      <w:r>
        <w:rPr>
          <w:rFonts w:ascii="Arial" w:hAnsi="Arial" w:cs="Arial"/>
          <w:kern w:val="2"/>
          <w:sz w:val="24"/>
          <w:szCs w:val="24"/>
        </w:rPr>
        <w:t xml:space="preserve">”. </w:t>
      </w:r>
      <w:r w:rsidR="00B406A9">
        <w:rPr>
          <w:rFonts w:ascii="Arial" w:hAnsi="Arial" w:cs="Arial"/>
          <w:kern w:val="2"/>
          <w:sz w:val="24"/>
          <w:szCs w:val="24"/>
        </w:rPr>
        <w:t>“I</w:t>
      </w:r>
      <w:r>
        <w:rPr>
          <w:rFonts w:ascii="Arial" w:hAnsi="Arial" w:cs="Arial"/>
          <w:kern w:val="2"/>
          <w:sz w:val="24"/>
          <w:szCs w:val="24"/>
        </w:rPr>
        <w:t xml:space="preserve">n questo contesto </w:t>
      </w:r>
      <w:r w:rsidR="00DC4363">
        <w:rPr>
          <w:rFonts w:ascii="Arial" w:hAnsi="Arial" w:cs="Arial"/>
          <w:kern w:val="2"/>
          <w:sz w:val="24"/>
          <w:szCs w:val="24"/>
        </w:rPr>
        <w:t>–</w:t>
      </w:r>
      <w:r w:rsidR="005F788F">
        <w:rPr>
          <w:rFonts w:ascii="Arial" w:hAnsi="Arial" w:cs="Arial"/>
          <w:kern w:val="2"/>
          <w:sz w:val="24"/>
          <w:szCs w:val="24"/>
        </w:rPr>
        <w:t xml:space="preserve"> </w:t>
      </w:r>
      <w:r w:rsidR="00604E37">
        <w:rPr>
          <w:rFonts w:ascii="Arial" w:hAnsi="Arial" w:cs="Arial"/>
          <w:kern w:val="2"/>
          <w:sz w:val="24"/>
          <w:szCs w:val="24"/>
        </w:rPr>
        <w:t>conclude</w:t>
      </w:r>
      <w:r w:rsidR="005F788F">
        <w:rPr>
          <w:rFonts w:ascii="Arial" w:hAnsi="Arial" w:cs="Arial"/>
          <w:kern w:val="2"/>
          <w:sz w:val="24"/>
          <w:szCs w:val="24"/>
        </w:rPr>
        <w:t xml:space="preserve"> </w:t>
      </w:r>
      <w:r w:rsidR="00DC4363">
        <w:rPr>
          <w:rFonts w:ascii="Arial" w:hAnsi="Arial" w:cs="Arial"/>
          <w:kern w:val="2"/>
          <w:sz w:val="24"/>
          <w:szCs w:val="24"/>
        </w:rPr>
        <w:t>–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r w:rsidRPr="00604E37">
        <w:rPr>
          <w:rFonts w:ascii="Arial" w:hAnsi="Arial" w:cs="Arial"/>
          <w:b/>
          <w:bCs/>
          <w:kern w:val="2"/>
          <w:sz w:val="24"/>
          <w:szCs w:val="24"/>
        </w:rPr>
        <w:t>un’importantissima conferma</w:t>
      </w:r>
      <w:r w:rsidRPr="00F15857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>giunge dai</w:t>
      </w:r>
      <w:r w:rsidRPr="00F15857">
        <w:rPr>
          <w:rFonts w:ascii="Arial" w:hAnsi="Arial" w:cs="Arial"/>
          <w:kern w:val="2"/>
          <w:sz w:val="24"/>
          <w:szCs w:val="24"/>
        </w:rPr>
        <w:t xml:space="preserve"> dati resi noti dal </w:t>
      </w:r>
      <w:r w:rsidRPr="00604E37">
        <w:rPr>
          <w:rFonts w:ascii="Arial" w:hAnsi="Arial" w:cs="Arial"/>
          <w:b/>
          <w:bCs/>
          <w:kern w:val="2"/>
          <w:sz w:val="24"/>
          <w:szCs w:val="24"/>
        </w:rPr>
        <w:t>Mef</w:t>
      </w:r>
      <w:r w:rsidRPr="00F15857">
        <w:rPr>
          <w:rFonts w:ascii="Arial" w:hAnsi="Arial" w:cs="Arial"/>
          <w:kern w:val="2"/>
          <w:sz w:val="24"/>
          <w:szCs w:val="24"/>
        </w:rPr>
        <w:t xml:space="preserve"> nell’</w:t>
      </w:r>
      <w:r w:rsidR="00DC4363">
        <w:rPr>
          <w:rFonts w:ascii="Arial" w:hAnsi="Arial" w:cs="Arial"/>
          <w:kern w:val="2"/>
          <w:sz w:val="24"/>
          <w:szCs w:val="24"/>
        </w:rPr>
        <w:t>a</w:t>
      </w:r>
      <w:r w:rsidRPr="00F15857">
        <w:rPr>
          <w:rFonts w:ascii="Arial" w:hAnsi="Arial" w:cs="Arial"/>
          <w:kern w:val="2"/>
          <w:sz w:val="24"/>
          <w:szCs w:val="24"/>
        </w:rPr>
        <w:t xml:space="preserve">udizione del 23 maggio 2023, laddove, sulla base delle stime di impatto dei bonus edilizi sul Pil nominale per il periodo 2021-2025, peraltro limitate al solo impatto del Superbonus e del bonus facciate, si ricava un valore complessivo di incremento del Pil, per i cinque anni presi in considerazione, di </w:t>
      </w:r>
      <w:r w:rsidRPr="00604E37">
        <w:rPr>
          <w:rFonts w:ascii="Arial" w:hAnsi="Arial" w:cs="Arial"/>
          <w:b/>
          <w:bCs/>
          <w:kern w:val="2"/>
          <w:sz w:val="24"/>
          <w:szCs w:val="24"/>
        </w:rPr>
        <w:t>121 miliardi di euro</w:t>
      </w:r>
      <w:r w:rsidRPr="00F15857">
        <w:rPr>
          <w:rFonts w:ascii="Arial" w:hAnsi="Arial" w:cs="Arial"/>
          <w:kern w:val="2"/>
          <w:sz w:val="24"/>
          <w:szCs w:val="24"/>
        </w:rPr>
        <w:t xml:space="preserve">. Un dato </w:t>
      </w:r>
      <w:r w:rsidRPr="00604E37">
        <w:rPr>
          <w:rFonts w:ascii="Arial" w:hAnsi="Arial" w:cs="Arial"/>
          <w:b/>
          <w:bCs/>
          <w:kern w:val="2"/>
          <w:sz w:val="24"/>
          <w:szCs w:val="24"/>
        </w:rPr>
        <w:t>persino superiore</w:t>
      </w:r>
      <w:r w:rsidRPr="00F15857">
        <w:rPr>
          <w:rFonts w:ascii="Arial" w:hAnsi="Arial" w:cs="Arial"/>
          <w:kern w:val="2"/>
          <w:sz w:val="24"/>
          <w:szCs w:val="24"/>
        </w:rPr>
        <w:t xml:space="preserve"> alle nostre stime che si assestano a </w:t>
      </w:r>
      <w:r w:rsidRPr="00604E37">
        <w:rPr>
          <w:rFonts w:ascii="Arial" w:hAnsi="Arial" w:cs="Arial"/>
          <w:b/>
          <w:bCs/>
          <w:kern w:val="2"/>
          <w:sz w:val="24"/>
          <w:szCs w:val="24"/>
        </w:rPr>
        <w:t>91 miliardi di euro</w:t>
      </w:r>
      <w:r w:rsidR="00804667" w:rsidRPr="00804667">
        <w:rPr>
          <w:rFonts w:ascii="Arial" w:hAnsi="Arial" w:cs="Arial"/>
          <w:kern w:val="2"/>
          <w:sz w:val="24"/>
          <w:szCs w:val="24"/>
        </w:rPr>
        <w:t>”.</w:t>
      </w:r>
    </w:p>
    <w:p w14:paraId="0415A50B" w14:textId="30B7CC97" w:rsidR="008F3A07" w:rsidRPr="00F15857" w:rsidRDefault="008F3A07" w:rsidP="008F3A07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4D694740" w14:textId="77777777" w:rsidR="008F3A07" w:rsidRDefault="008F3A07" w:rsidP="008F3A07">
      <w:pPr>
        <w:spacing w:after="160" w:line="259" w:lineRule="auto"/>
        <w:jc w:val="both"/>
        <w:rPr>
          <w:b/>
          <w:bCs/>
          <w:kern w:val="2"/>
        </w:rPr>
      </w:pPr>
      <w:r>
        <w:rPr>
          <w:b/>
          <w:bCs/>
          <w:kern w:val="2"/>
        </w:rPr>
        <w:t xml:space="preserve">Tabella - </w:t>
      </w:r>
      <w:r w:rsidRPr="003B3D43">
        <w:rPr>
          <w:b/>
          <w:bCs/>
          <w:kern w:val="2"/>
        </w:rPr>
        <w:t>Stima del costo netto e dell’effetto di retroazione fiscale Superbonus 110% e bonus edilizi Anni 2021 e 2022</w:t>
      </w:r>
      <w:r>
        <w:rPr>
          <w:b/>
          <w:bCs/>
          <w:kern w:val="2"/>
        </w:rPr>
        <w:t xml:space="preserve">. Dati in milioni di euro. </w:t>
      </w:r>
    </w:p>
    <w:tbl>
      <w:tblPr>
        <w:tblW w:w="691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40"/>
        <w:gridCol w:w="1476"/>
      </w:tblGrid>
      <w:tr w:rsidR="008F3A07" w:rsidRPr="00954AEB" w14:paraId="1B53BF3F" w14:textId="77777777" w:rsidTr="009A44DB">
        <w:trPr>
          <w:trHeight w:hRule="exact" w:val="397"/>
        </w:trPr>
        <w:tc>
          <w:tcPr>
            <w:tcW w:w="5440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C00000"/>
            <w:noWrap/>
            <w:vAlign w:val="center"/>
            <w:hideMark/>
          </w:tcPr>
          <w:p w14:paraId="5ADF3B30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DESCRIZIONE</w:t>
            </w:r>
          </w:p>
        </w:tc>
        <w:tc>
          <w:tcPr>
            <w:tcW w:w="1476" w:type="dxa"/>
            <w:tcBorders>
              <w:top w:val="single" w:sz="4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0000"/>
            <w:noWrap/>
            <w:vAlign w:val="center"/>
            <w:hideMark/>
          </w:tcPr>
          <w:p w14:paraId="40EE9194" w14:textId="77777777" w:rsidR="008F3A07" w:rsidRPr="00954AEB" w:rsidRDefault="008F3A07" w:rsidP="009A44D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VALORE</w:t>
            </w:r>
          </w:p>
        </w:tc>
      </w:tr>
      <w:tr w:rsidR="008F3A07" w:rsidRPr="00954AEB" w14:paraId="37FE577F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76DC9D9D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Cessioni totali</w:t>
            </w:r>
          </w:p>
        </w:tc>
        <w:tc>
          <w:tcPr>
            <w:tcW w:w="1476" w:type="dxa"/>
            <w:tcBorders>
              <w:top w:val="nil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0897860D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110.022</w:t>
            </w:r>
          </w:p>
        </w:tc>
      </w:tr>
      <w:tr w:rsidR="008F3A07" w:rsidRPr="00954AEB" w14:paraId="7B138184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336F7483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 xml:space="preserve">Spesa totale stimata 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55D5831B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149.809</w:t>
            </w:r>
          </w:p>
        </w:tc>
      </w:tr>
      <w:tr w:rsidR="008F3A07" w:rsidRPr="00954AEB" w14:paraId="522597E4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365C9592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Spesa base stimata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18E2DC2E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53.880</w:t>
            </w:r>
          </w:p>
        </w:tc>
      </w:tr>
      <w:tr w:rsidR="008F3A07" w:rsidRPr="00954AEB" w14:paraId="5724B5DD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0740F51A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Spesa indotta stimata (149.809 – 53.880)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62078FCE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95.929</w:t>
            </w:r>
          </w:p>
        </w:tc>
      </w:tr>
      <w:tr w:rsidR="008F3A07" w:rsidRPr="00954AEB" w14:paraId="0C25598F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3661CBEF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Valore della produzione stimato (95.929 x 2,65)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60D951D6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254.212</w:t>
            </w:r>
          </w:p>
        </w:tc>
      </w:tr>
      <w:tr w:rsidR="008F3A07" w:rsidRPr="00954AEB" w14:paraId="69CB7125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0FE97C1F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Valore aggiunto stimato (254.212 x 0,357)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0B4B7B72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90.754</w:t>
            </w:r>
          </w:p>
        </w:tc>
      </w:tr>
      <w:tr w:rsidR="008F3A07" w:rsidRPr="00954AEB" w14:paraId="34E880CE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3CC08324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Gettito fiscale indotto stimato (90.754 x 40,8%)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4073C8BB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37.028</w:t>
            </w:r>
          </w:p>
        </w:tc>
      </w:tr>
      <w:tr w:rsidR="008F3A07" w:rsidRPr="00954AEB" w14:paraId="06436F9D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56A234A1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Costo lordo totale stimato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27C9DD81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129.438</w:t>
            </w:r>
          </w:p>
        </w:tc>
      </w:tr>
      <w:tr w:rsidR="008F3A07" w:rsidRPr="00954AEB" w14:paraId="602D5C37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641D9407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Costo lordo base stimato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5DC4C102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32.105</w:t>
            </w:r>
          </w:p>
        </w:tc>
      </w:tr>
      <w:tr w:rsidR="008F3A07" w:rsidRPr="00954AEB" w14:paraId="4D6EE824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473798CD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Costo lordo indotto stimato (129.438 – 32.105)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3AEDBCC0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97.333</w:t>
            </w:r>
          </w:p>
        </w:tc>
      </w:tr>
      <w:tr w:rsidR="008F3A07" w:rsidRPr="00954AEB" w14:paraId="2B246439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32CC977A" w14:textId="77777777" w:rsidR="008F3A07" w:rsidRPr="00954AEB" w:rsidRDefault="008F3A07" w:rsidP="009A44DB">
            <w:pPr>
              <w:jc w:val="both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 xml:space="preserve">Costo netto stimato (97.333 – 37.028) 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6DDBFA76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60.305</w:t>
            </w:r>
          </w:p>
        </w:tc>
      </w:tr>
      <w:tr w:rsidR="008F3A07" w:rsidRPr="00954AEB" w14:paraId="535806AB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</w:tcPr>
          <w:p w14:paraId="2E25B327" w14:textId="77777777" w:rsidR="008F3A07" w:rsidRPr="00954AEB" w:rsidRDefault="008F3A07" w:rsidP="009A44DB">
            <w:pPr>
              <w:jc w:val="right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</w:tcPr>
          <w:p w14:paraId="7756ADD7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</w:p>
        </w:tc>
      </w:tr>
      <w:tr w:rsidR="008F3A07" w:rsidRPr="00954AEB" w14:paraId="567A373D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7304A7CF" w14:textId="77777777" w:rsidR="008F3A07" w:rsidRPr="00954AEB" w:rsidRDefault="008F3A07" w:rsidP="009A44DB">
            <w:pPr>
              <w:jc w:val="both"/>
              <w:rPr>
                <w:rFonts w:eastAsia="Times New Roman"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Moltiplicatore del valore della produzione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14A69A4D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2,65</w:t>
            </w:r>
          </w:p>
        </w:tc>
      </w:tr>
      <w:tr w:rsidR="008F3A07" w:rsidRPr="00954AEB" w14:paraId="526B95EF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00000"/>
            <w:noWrap/>
            <w:hideMark/>
          </w:tcPr>
          <w:p w14:paraId="29A61300" w14:textId="77777777" w:rsidR="008F3A07" w:rsidRPr="00954AEB" w:rsidRDefault="008F3A07" w:rsidP="009A44DB">
            <w:pPr>
              <w:jc w:val="both"/>
              <w:rPr>
                <w:rFonts w:eastAsia="Times New Roman"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Valore aggiunto/Valore della Produzione (Media 2016-2020)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4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6333B9CB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0,357</w:t>
            </w:r>
          </w:p>
        </w:tc>
      </w:tr>
      <w:tr w:rsidR="008F3A07" w:rsidRPr="00954AEB" w14:paraId="2F7C2A8A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bottom w:val="single" w:sz="8" w:space="0" w:color="C00000"/>
              <w:right w:val="single" w:sz="8" w:space="0" w:color="FFFFFF"/>
            </w:tcBorders>
            <w:shd w:val="clear" w:color="auto" w:fill="C00000"/>
            <w:noWrap/>
          </w:tcPr>
          <w:p w14:paraId="0463CEF7" w14:textId="77777777" w:rsidR="008F3A07" w:rsidRPr="00954AEB" w:rsidRDefault="008F3A07" w:rsidP="009A44DB">
            <w:pPr>
              <w:jc w:val="both"/>
              <w:rPr>
                <w:rFonts w:eastAsia="Times New Roman"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Moltiplicatore del valore aggiunto (90.754/95.929)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8" w:space="0" w:color="C00000"/>
              <w:right w:val="single" w:sz="8" w:space="0" w:color="FFFFFF"/>
            </w:tcBorders>
            <w:shd w:val="clear" w:color="auto" w:fill="F2F2F2"/>
            <w:noWrap/>
          </w:tcPr>
          <w:p w14:paraId="040784BE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0,95</w:t>
            </w:r>
          </w:p>
        </w:tc>
      </w:tr>
      <w:tr w:rsidR="008F3A07" w:rsidRPr="00954AEB" w14:paraId="406FD945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bottom w:val="single" w:sz="8" w:space="0" w:color="C00000"/>
              <w:right w:val="single" w:sz="8" w:space="0" w:color="FFFFFF"/>
            </w:tcBorders>
            <w:shd w:val="clear" w:color="auto" w:fill="C00000"/>
            <w:noWrap/>
            <w:hideMark/>
          </w:tcPr>
          <w:p w14:paraId="4978CED8" w14:textId="77777777" w:rsidR="008F3A07" w:rsidRPr="00954AEB" w:rsidRDefault="008F3A07" w:rsidP="009A44DB">
            <w:pPr>
              <w:jc w:val="both"/>
              <w:rPr>
                <w:rFonts w:eastAsia="Times New Roman"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Aliquota fiscale stima gettito indotto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8" w:space="0" w:color="C00000"/>
              <w:right w:val="single" w:sz="8" w:space="0" w:color="FFFFFF"/>
            </w:tcBorders>
            <w:shd w:val="clear" w:color="auto" w:fill="F2F2F2"/>
            <w:noWrap/>
            <w:hideMark/>
          </w:tcPr>
          <w:p w14:paraId="3AA3FEB9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0,408</w:t>
            </w:r>
          </w:p>
        </w:tc>
      </w:tr>
      <w:tr w:rsidR="008F3A07" w:rsidRPr="00954AEB" w14:paraId="78B6C971" w14:textId="77777777" w:rsidTr="009A44DB">
        <w:trPr>
          <w:trHeight w:val="255"/>
        </w:trPr>
        <w:tc>
          <w:tcPr>
            <w:tcW w:w="5440" w:type="dxa"/>
            <w:tcBorders>
              <w:left w:val="single" w:sz="8" w:space="0" w:color="FFFFFF"/>
              <w:bottom w:val="single" w:sz="8" w:space="0" w:color="C00000"/>
              <w:right w:val="single" w:sz="8" w:space="0" w:color="FFFFFF"/>
            </w:tcBorders>
            <w:shd w:val="clear" w:color="auto" w:fill="C00000"/>
            <w:noWrap/>
          </w:tcPr>
          <w:p w14:paraId="1DEF12A5" w14:textId="77777777" w:rsidR="008F3A07" w:rsidRPr="00954AEB" w:rsidRDefault="008F3A07" w:rsidP="009A44DB">
            <w:pPr>
              <w:jc w:val="both"/>
              <w:rPr>
                <w:rFonts w:eastAsia="Times New Roman"/>
                <w:color w:val="FFFFFF"/>
                <w:sz w:val="18"/>
                <w:szCs w:val="18"/>
              </w:rPr>
            </w:pPr>
            <w:r w:rsidRPr="00954AEB">
              <w:rPr>
                <w:rFonts w:eastAsia="Times New Roman"/>
                <w:color w:val="FFFFFF"/>
                <w:sz w:val="18"/>
                <w:szCs w:val="18"/>
              </w:rPr>
              <w:t>Effetto di retroazione fiscale (37.028/97.333)</w:t>
            </w:r>
          </w:p>
        </w:tc>
        <w:tc>
          <w:tcPr>
            <w:tcW w:w="1476" w:type="dxa"/>
            <w:tcBorders>
              <w:top w:val="single" w:sz="4" w:space="0" w:color="C00000"/>
              <w:left w:val="single" w:sz="8" w:space="0" w:color="FFFFFF"/>
              <w:bottom w:val="single" w:sz="8" w:space="0" w:color="C00000"/>
              <w:right w:val="single" w:sz="8" w:space="0" w:color="FFFFFF"/>
            </w:tcBorders>
            <w:shd w:val="clear" w:color="auto" w:fill="F2F2F2"/>
            <w:noWrap/>
          </w:tcPr>
          <w:p w14:paraId="77AB10F7" w14:textId="77777777" w:rsidR="008F3A07" w:rsidRPr="00954AEB" w:rsidRDefault="008F3A07" w:rsidP="009A44DB">
            <w:pPr>
              <w:jc w:val="center"/>
              <w:rPr>
                <w:rFonts w:eastAsia="Times New Roman"/>
                <w:color w:val="404040"/>
                <w:sz w:val="18"/>
                <w:szCs w:val="18"/>
              </w:rPr>
            </w:pPr>
            <w:r w:rsidRPr="00954AEB">
              <w:rPr>
                <w:rFonts w:eastAsia="Times New Roman"/>
                <w:color w:val="404040"/>
                <w:sz w:val="18"/>
                <w:szCs w:val="18"/>
              </w:rPr>
              <w:t>0,38</w:t>
            </w:r>
          </w:p>
        </w:tc>
      </w:tr>
    </w:tbl>
    <w:p w14:paraId="175ADBAE" w14:textId="77777777" w:rsidR="008F3A07" w:rsidRPr="00954AEB" w:rsidRDefault="008F3A07" w:rsidP="008F3A07">
      <w:pPr>
        <w:spacing w:before="40" w:line="312" w:lineRule="auto"/>
        <w:jc w:val="both"/>
        <w:rPr>
          <w:rFonts w:eastAsia="Times New Roman"/>
          <w:i/>
          <w:iCs/>
          <w:color w:val="000000"/>
          <w:sz w:val="16"/>
          <w:szCs w:val="16"/>
        </w:rPr>
      </w:pPr>
      <w:r w:rsidRPr="00954AEB">
        <w:rPr>
          <w:rFonts w:eastAsia="Times New Roman"/>
          <w:i/>
          <w:iCs/>
          <w:color w:val="000000"/>
          <w:sz w:val="16"/>
          <w:szCs w:val="16"/>
        </w:rPr>
        <w:t>Fonte: Elaborazione FNC</w:t>
      </w:r>
    </w:p>
    <w:p w14:paraId="13AA5DC8" w14:textId="77777777" w:rsidR="008F3A07" w:rsidRPr="00954AEB" w:rsidRDefault="008F3A07" w:rsidP="008F3A07">
      <w:pPr>
        <w:spacing w:line="312" w:lineRule="auto"/>
        <w:jc w:val="both"/>
        <w:rPr>
          <w:rFonts w:eastAsia="Times New Roman"/>
          <w:color w:val="404040"/>
          <w:szCs w:val="21"/>
        </w:rPr>
      </w:pPr>
    </w:p>
    <w:p w14:paraId="09DC84A5" w14:textId="77777777" w:rsidR="008F3A07" w:rsidRPr="00347383" w:rsidRDefault="008F3A07" w:rsidP="008F3A07">
      <w:pPr>
        <w:spacing w:after="160" w:line="259" w:lineRule="auto"/>
        <w:jc w:val="both"/>
        <w:rPr>
          <w:kern w:val="2"/>
        </w:rPr>
      </w:pPr>
    </w:p>
    <w:p w14:paraId="27E8D1E8" w14:textId="77777777" w:rsidR="008F3A07" w:rsidRPr="007D361E" w:rsidRDefault="008F3A07" w:rsidP="007D361E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489E9790" w14:textId="77777777" w:rsidR="007D361E" w:rsidRPr="007D361E" w:rsidRDefault="007D361E" w:rsidP="007D361E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7D361E">
        <w:rPr>
          <w:color w:val="000000"/>
          <w:sz w:val="24"/>
          <w:szCs w:val="24"/>
          <w:shd w:val="clear" w:color="auto" w:fill="FFFFFF"/>
        </w:rPr>
        <w:t>  </w:t>
      </w:r>
    </w:p>
    <w:p w14:paraId="3074CF4F" w14:textId="77777777" w:rsidR="005F6B93" w:rsidRPr="00102840" w:rsidRDefault="005F6B93" w:rsidP="007D3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sz w:val="24"/>
          <w:szCs w:val="24"/>
        </w:rPr>
      </w:pPr>
    </w:p>
    <w:sectPr w:rsidR="005F6B93" w:rsidRPr="00102840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575C" w14:textId="77777777" w:rsidR="00B67134" w:rsidRDefault="00B67134">
      <w:r>
        <w:separator/>
      </w:r>
    </w:p>
  </w:endnote>
  <w:endnote w:type="continuationSeparator" w:id="0">
    <w:p w14:paraId="275222BC" w14:textId="77777777" w:rsidR="00B67134" w:rsidRDefault="00B6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8FAF" w14:textId="77777777" w:rsidR="00B67134" w:rsidRDefault="00B67134">
      <w:r>
        <w:separator/>
      </w:r>
    </w:p>
  </w:footnote>
  <w:footnote w:type="continuationSeparator" w:id="0">
    <w:p w14:paraId="7722EC69" w14:textId="77777777" w:rsidR="00B67134" w:rsidRDefault="00B6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90992"/>
    <w:rsid w:val="000F1AA7"/>
    <w:rsid w:val="00102840"/>
    <w:rsid w:val="00103156"/>
    <w:rsid w:val="001657E9"/>
    <w:rsid w:val="001B1920"/>
    <w:rsid w:val="002B4469"/>
    <w:rsid w:val="002C49C0"/>
    <w:rsid w:val="00326249"/>
    <w:rsid w:val="004C16AB"/>
    <w:rsid w:val="00554081"/>
    <w:rsid w:val="005737D5"/>
    <w:rsid w:val="00580C6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801E5C"/>
    <w:rsid w:val="00804667"/>
    <w:rsid w:val="00827BB9"/>
    <w:rsid w:val="00846CAC"/>
    <w:rsid w:val="008D050B"/>
    <w:rsid w:val="008E7494"/>
    <w:rsid w:val="008F3A07"/>
    <w:rsid w:val="00A90FDA"/>
    <w:rsid w:val="00B406A9"/>
    <w:rsid w:val="00B67134"/>
    <w:rsid w:val="00BD401F"/>
    <w:rsid w:val="00C14B5A"/>
    <w:rsid w:val="00C87946"/>
    <w:rsid w:val="00DC4363"/>
    <w:rsid w:val="00EC3325"/>
    <w:rsid w:val="00F15857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4</cp:revision>
  <dcterms:created xsi:type="dcterms:W3CDTF">2023-06-05T12:53:00Z</dcterms:created>
  <dcterms:modified xsi:type="dcterms:W3CDTF">2023-06-13T13:15:00Z</dcterms:modified>
</cp:coreProperties>
</file>