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A478" w14:textId="77777777" w:rsidR="007F0536" w:rsidRPr="001D3B37" w:rsidRDefault="007F0536" w:rsidP="006D0BEF">
      <w:pPr>
        <w:suppressAutoHyphens/>
        <w:autoSpaceDN w:val="0"/>
        <w:jc w:val="both"/>
        <w:textAlignment w:val="baseline"/>
        <w:rPr>
          <w:rFonts w:ascii="Arial" w:eastAsia="Times New Roman" w:hAnsi="Arial" w:cs="Arial"/>
          <w:b/>
          <w:bCs/>
          <w:sz w:val="24"/>
          <w:szCs w:val="24"/>
          <w:u w:val="single"/>
        </w:rPr>
      </w:pPr>
    </w:p>
    <w:p w14:paraId="3F0F46C8" w14:textId="77777777" w:rsidR="005A6F42" w:rsidRDefault="005A6F42" w:rsidP="005A6F42">
      <w:pPr>
        <w:suppressAutoHyphens/>
        <w:autoSpaceDN w:val="0"/>
        <w:jc w:val="center"/>
        <w:rPr>
          <w:color w:val="000000"/>
        </w:rPr>
      </w:pPr>
      <w:bookmarkStart w:id="0" w:name="_MailOriginal"/>
      <w:r>
        <w:rPr>
          <w:rFonts w:ascii="Arial" w:eastAsia="Times New Roman" w:hAnsi="Arial" w:cs="Arial"/>
          <w:b/>
          <w:bCs/>
          <w:color w:val="000000"/>
          <w:sz w:val="24"/>
          <w:szCs w:val="24"/>
          <w:u w:val="single"/>
        </w:rPr>
        <w:t>COMUNICATO STAMPA </w:t>
      </w:r>
    </w:p>
    <w:p w14:paraId="481B309C" w14:textId="77777777" w:rsidR="005A6F42" w:rsidRDefault="005A6F42" w:rsidP="005A6F42">
      <w:pPr>
        <w:suppressAutoHyphens/>
        <w:autoSpaceDN w:val="0"/>
        <w:jc w:val="center"/>
        <w:rPr>
          <w:color w:val="000000"/>
        </w:rPr>
      </w:pPr>
      <w:r>
        <w:rPr>
          <w:rFonts w:ascii="Arial" w:eastAsia="Times New Roman" w:hAnsi="Arial" w:cs="Arial"/>
          <w:b/>
          <w:bCs/>
          <w:color w:val="000000"/>
          <w:sz w:val="24"/>
          <w:szCs w:val="24"/>
        </w:rPr>
        <w:t> </w:t>
      </w:r>
    </w:p>
    <w:p w14:paraId="5624B53A" w14:textId="77777777" w:rsidR="005A6F42" w:rsidRDefault="005A6F42" w:rsidP="005A6F42">
      <w:pPr>
        <w:suppressAutoHyphens/>
        <w:autoSpaceDN w:val="0"/>
        <w:jc w:val="center"/>
        <w:rPr>
          <w:color w:val="000000"/>
        </w:rPr>
      </w:pPr>
      <w:r>
        <w:rPr>
          <w:rFonts w:ascii="Arial" w:eastAsia="Times New Roman" w:hAnsi="Arial" w:cs="Arial"/>
          <w:b/>
          <w:bCs/>
          <w:color w:val="000000"/>
          <w:sz w:val="24"/>
          <w:szCs w:val="24"/>
        </w:rPr>
        <w:t>GIUSTIZIA TRIBUTARIA: COMMERCIALISTI, DOPO L‘EMERGENZA SI TORNI ALLA NORMALITA’ </w:t>
      </w:r>
    </w:p>
    <w:p w14:paraId="594942C4" w14:textId="77777777" w:rsidR="005A6F42" w:rsidRDefault="005A6F42" w:rsidP="005A6F42">
      <w:pPr>
        <w:suppressAutoHyphens/>
        <w:autoSpaceDN w:val="0"/>
        <w:jc w:val="center"/>
        <w:rPr>
          <w:color w:val="000000"/>
        </w:rPr>
      </w:pPr>
      <w:r>
        <w:rPr>
          <w:rFonts w:ascii="Arial" w:eastAsia="Times New Roman" w:hAnsi="Arial" w:cs="Arial"/>
          <w:b/>
          <w:bCs/>
          <w:color w:val="000000"/>
          <w:sz w:val="24"/>
          <w:szCs w:val="24"/>
        </w:rPr>
        <w:t> </w:t>
      </w:r>
    </w:p>
    <w:p w14:paraId="6A934B18" w14:textId="77777777" w:rsidR="005A6F42" w:rsidRDefault="005A6F42" w:rsidP="005A6F42">
      <w:pPr>
        <w:suppressAutoHyphens/>
        <w:autoSpaceDN w:val="0"/>
        <w:jc w:val="center"/>
        <w:rPr>
          <w:color w:val="000000"/>
        </w:rPr>
      </w:pPr>
      <w:r>
        <w:rPr>
          <w:rFonts w:ascii="Arial" w:eastAsia="Times New Roman" w:hAnsi="Arial" w:cs="Arial"/>
          <w:b/>
          <w:bCs/>
          <w:color w:val="000000"/>
          <w:sz w:val="24"/>
          <w:szCs w:val="24"/>
        </w:rPr>
        <w:t>Costa: “Superare la legislazione processuale emergenziale e tornare alle udienze pubbliche in presenza. La riforma punti sulla specializzazione. Professionisti indispensabili” </w:t>
      </w:r>
    </w:p>
    <w:p w14:paraId="2FB4B528" w14:textId="77777777" w:rsidR="005A6F42" w:rsidRDefault="005A6F42" w:rsidP="005A6F42">
      <w:pPr>
        <w:suppressAutoHyphens/>
        <w:autoSpaceDN w:val="0"/>
        <w:jc w:val="center"/>
        <w:rPr>
          <w:color w:val="000000"/>
        </w:rPr>
      </w:pPr>
      <w:r>
        <w:rPr>
          <w:rFonts w:ascii="Arial" w:eastAsia="Times New Roman" w:hAnsi="Arial" w:cs="Arial"/>
          <w:b/>
          <w:bCs/>
          <w:color w:val="000000"/>
          <w:sz w:val="24"/>
          <w:szCs w:val="24"/>
        </w:rPr>
        <w:t> </w:t>
      </w:r>
    </w:p>
    <w:p w14:paraId="4296866A" w14:textId="7E11663B" w:rsidR="005A6F42" w:rsidRDefault="005A6F42" w:rsidP="005A6F42">
      <w:pPr>
        <w:shd w:val="clear" w:color="auto" w:fill="FFFFFF"/>
        <w:jc w:val="both"/>
        <w:rPr>
          <w:color w:val="000000"/>
        </w:rPr>
      </w:pPr>
      <w:r>
        <w:rPr>
          <w:rFonts w:ascii="Arial" w:eastAsia="Times New Roman" w:hAnsi="Arial" w:cs="Arial"/>
          <w:bCs/>
          <w:i/>
          <w:iCs/>
        </w:rPr>
        <w:t>Roma, 5 aprile 2022 -</w:t>
      </w:r>
      <w:r>
        <w:rPr>
          <w:rFonts w:ascii="Arial" w:eastAsia="Times New Roman" w:hAnsi="Arial" w:cs="Arial"/>
          <w:bCs/>
        </w:rPr>
        <w:t xml:space="preserve"> “L’anno giudiziario che stiamo inaugurando vede le Commissioni tributarie ancora alle prese con le misure organizzative e di sicurezza imposte dalla pandemia, nonostante da pochi giorni siamo finalmente usciti dallo stato di emergenza nazionale. Il nostro auspicio è che si torni presto alla </w:t>
      </w:r>
      <w:bookmarkStart w:id="1" w:name="_Hlk99963307"/>
      <w:r>
        <w:rPr>
          <w:rFonts w:ascii="Arial" w:eastAsia="Times New Roman" w:hAnsi="Arial" w:cs="Arial"/>
          <w:b/>
          <w:bCs/>
        </w:rPr>
        <w:t>normalità</w:t>
      </w:r>
      <w:r>
        <w:rPr>
          <w:rFonts w:ascii="Arial" w:eastAsia="Times New Roman" w:hAnsi="Arial" w:cs="Arial"/>
          <w:bCs/>
        </w:rPr>
        <w:t xml:space="preserve">, con il superamento delle difficoltà che questa fase ha imposto, e che sia ripristinata, quanto prima, la </w:t>
      </w:r>
      <w:r>
        <w:rPr>
          <w:rFonts w:ascii="Arial" w:eastAsia="Times New Roman" w:hAnsi="Arial" w:cs="Arial"/>
          <w:b/>
          <w:bCs/>
        </w:rPr>
        <w:t>trattazione delle udienze</w:t>
      </w:r>
      <w:r>
        <w:rPr>
          <w:rFonts w:ascii="Arial" w:eastAsia="Times New Roman" w:hAnsi="Arial" w:cs="Arial"/>
          <w:bCs/>
        </w:rPr>
        <w:t xml:space="preserve"> pubbliche </w:t>
      </w:r>
      <w:r>
        <w:rPr>
          <w:rFonts w:ascii="Arial" w:eastAsia="Times New Roman" w:hAnsi="Arial" w:cs="Arial"/>
          <w:b/>
          <w:bCs/>
        </w:rPr>
        <w:t>in presenza</w:t>
      </w:r>
      <w:r>
        <w:rPr>
          <w:rFonts w:ascii="Arial" w:eastAsia="Times New Roman" w:hAnsi="Arial" w:cs="Arial"/>
          <w:bCs/>
        </w:rPr>
        <w:t xml:space="preserve">”. </w:t>
      </w:r>
      <w:r>
        <w:rPr>
          <w:rFonts w:ascii="Arial" w:eastAsia="Times New Roman" w:hAnsi="Arial" w:cs="Arial"/>
          <w:bCs/>
        </w:rPr>
        <w:t>È</w:t>
      </w:r>
      <w:r>
        <w:rPr>
          <w:rFonts w:ascii="Arial" w:eastAsia="Times New Roman" w:hAnsi="Arial" w:cs="Arial"/>
          <w:bCs/>
        </w:rPr>
        <w:t xml:space="preserve"> quanto affermato dal Commissario straordinario del Consiglio nazionale dei commercialisti, </w:t>
      </w:r>
      <w:r>
        <w:rPr>
          <w:rFonts w:ascii="Arial" w:eastAsia="Times New Roman" w:hAnsi="Arial" w:cs="Arial"/>
          <w:b/>
          <w:bCs/>
        </w:rPr>
        <w:t>Rosario Giorgio Costa</w:t>
      </w:r>
      <w:r>
        <w:rPr>
          <w:rFonts w:ascii="Arial" w:eastAsia="Times New Roman" w:hAnsi="Arial" w:cs="Arial"/>
          <w:bCs/>
        </w:rPr>
        <w:t xml:space="preserve">, all’inaugurazione all’anno giudiziario tributario. Costa ha anche sottolineato “la </w:t>
      </w:r>
      <w:r>
        <w:rPr>
          <w:rFonts w:ascii="Arial" w:eastAsia="Times New Roman" w:hAnsi="Arial" w:cs="Arial"/>
          <w:b/>
          <w:bCs/>
        </w:rPr>
        <w:t>virtuosa e indispensabile</w:t>
      </w:r>
      <w:r>
        <w:rPr>
          <w:rFonts w:ascii="Arial" w:eastAsia="Times New Roman" w:hAnsi="Arial" w:cs="Arial"/>
          <w:bCs/>
        </w:rPr>
        <w:t xml:space="preserve"> presenza di </w:t>
      </w:r>
      <w:r>
        <w:rPr>
          <w:rFonts w:ascii="Arial" w:eastAsia="Times New Roman" w:hAnsi="Arial" w:cs="Arial"/>
          <w:b/>
          <w:bCs/>
        </w:rPr>
        <w:t>commercialisti e avvocati</w:t>
      </w:r>
      <w:r>
        <w:rPr>
          <w:rFonts w:ascii="Arial" w:eastAsia="Times New Roman" w:hAnsi="Arial" w:cs="Arial"/>
          <w:bCs/>
        </w:rPr>
        <w:t xml:space="preserve"> all’interno delle commissioni tributarie, un dato di cui la riforma della Giustizia tributaria, più volte annunciata e non ancora non realizzata, dovrà tenere conto”. </w:t>
      </w:r>
    </w:p>
    <w:p w14:paraId="23AF63E8" w14:textId="77777777" w:rsidR="005A6F42" w:rsidRDefault="005A6F42" w:rsidP="005A6F42">
      <w:pPr>
        <w:shd w:val="clear" w:color="auto" w:fill="FFFFFF"/>
        <w:jc w:val="both"/>
        <w:rPr>
          <w:color w:val="000000"/>
        </w:rPr>
      </w:pPr>
      <w:r>
        <w:rPr>
          <w:rFonts w:ascii="Arial" w:eastAsia="Times New Roman" w:hAnsi="Arial" w:cs="Arial"/>
          <w:bCs/>
          <w:color w:val="000000"/>
        </w:rPr>
        <w:t> </w:t>
      </w:r>
    </w:p>
    <w:p w14:paraId="1A987521" w14:textId="77777777" w:rsidR="005A6F42" w:rsidRDefault="005A6F42" w:rsidP="005A6F42">
      <w:pPr>
        <w:shd w:val="clear" w:color="auto" w:fill="FFFFFF"/>
        <w:jc w:val="both"/>
        <w:rPr>
          <w:color w:val="000000"/>
        </w:rPr>
      </w:pPr>
      <w:r>
        <w:rPr>
          <w:rFonts w:ascii="Arial" w:eastAsia="Times New Roman" w:hAnsi="Arial" w:cs="Arial"/>
          <w:bCs/>
        </w:rPr>
        <w:t xml:space="preserve">“Il 2021, così come il precedente – ha affermato - è stato un </w:t>
      </w:r>
      <w:r>
        <w:rPr>
          <w:rFonts w:ascii="Arial" w:eastAsia="Times New Roman" w:hAnsi="Arial" w:cs="Arial"/>
          <w:b/>
          <w:bCs/>
        </w:rPr>
        <w:t>anno difficile</w:t>
      </w:r>
      <w:r>
        <w:rPr>
          <w:rFonts w:ascii="Arial" w:eastAsia="Times New Roman" w:hAnsi="Arial" w:cs="Arial"/>
          <w:bCs/>
        </w:rPr>
        <w:t xml:space="preserve"> nel quale si sono però registrati i primi segnali di un ritorno alla normalità, come testimoniato dal fatto che, accanto alla legislazione emergenziale, è tornato centrale il dibattito sul tema della riforma della Giustizia tributaria. La trattazione delle udienze pubbliche con modalità a distanza si è andata diffondendo, nonostante in molte Commissioni tributarie si registrino ancora problemi di adeguamento della rete internet e delle dotazioni informatiche necessarie. Una volta messa definitivamente in soffitta la modalità “cartolare” coatta di trattazione delle udienze, che a nostro avviso resta una </w:t>
      </w:r>
      <w:r>
        <w:rPr>
          <w:rFonts w:ascii="Arial" w:eastAsia="Times New Roman" w:hAnsi="Arial" w:cs="Arial"/>
          <w:b/>
          <w:bCs/>
        </w:rPr>
        <w:t>deviazione irragionevole</w:t>
      </w:r>
      <w:r>
        <w:rPr>
          <w:rFonts w:ascii="Arial" w:eastAsia="Times New Roman" w:hAnsi="Arial" w:cs="Arial"/>
          <w:bCs/>
        </w:rPr>
        <w:t xml:space="preserve"> rispetto al principio del «</w:t>
      </w:r>
      <w:r>
        <w:rPr>
          <w:rFonts w:ascii="Arial" w:eastAsia="Times New Roman" w:hAnsi="Arial" w:cs="Arial"/>
          <w:b/>
          <w:bCs/>
        </w:rPr>
        <w:t>giusto processo</w:t>
      </w:r>
      <w:r>
        <w:rPr>
          <w:rFonts w:ascii="Arial" w:eastAsia="Times New Roman" w:hAnsi="Arial" w:cs="Arial"/>
          <w:bCs/>
        </w:rPr>
        <w:t>», l’</w:t>
      </w:r>
      <w:r>
        <w:rPr>
          <w:rFonts w:ascii="Arial" w:eastAsia="Times New Roman" w:hAnsi="Arial" w:cs="Arial"/>
          <w:b/>
          <w:bCs/>
        </w:rPr>
        <w:t>unica alternativa alla trattazione delle udienze pubbliche in presenza</w:t>
      </w:r>
      <w:r>
        <w:rPr>
          <w:rFonts w:ascii="Arial" w:eastAsia="Times New Roman" w:hAnsi="Arial" w:cs="Arial"/>
          <w:bCs/>
        </w:rPr>
        <w:t xml:space="preserve"> non può che essere </w:t>
      </w:r>
      <w:r>
        <w:rPr>
          <w:rFonts w:ascii="Arial" w:eastAsia="Times New Roman" w:hAnsi="Arial" w:cs="Arial"/>
          <w:b/>
          <w:bCs/>
        </w:rPr>
        <w:t>l’udienza con collegamento da remoto</w:t>
      </w:r>
      <w:r>
        <w:rPr>
          <w:rFonts w:ascii="Arial" w:eastAsia="Times New Roman" w:hAnsi="Arial" w:cs="Arial"/>
          <w:bCs/>
        </w:rPr>
        <w:t xml:space="preserve"> in videoconferenza, laddove quest’ultima sia esplicitamente richiesta dalle parti”. </w:t>
      </w:r>
    </w:p>
    <w:p w14:paraId="65D22F27" w14:textId="77777777" w:rsidR="005A6F42" w:rsidRDefault="005A6F42" w:rsidP="005A6F42">
      <w:pPr>
        <w:shd w:val="clear" w:color="auto" w:fill="FFFFFF"/>
        <w:jc w:val="both"/>
        <w:rPr>
          <w:color w:val="000000"/>
        </w:rPr>
      </w:pPr>
      <w:r>
        <w:rPr>
          <w:rFonts w:ascii="Arial" w:eastAsia="Times New Roman" w:hAnsi="Arial" w:cs="Arial"/>
          <w:color w:val="000000"/>
        </w:rPr>
        <w:t> </w:t>
      </w:r>
    </w:p>
    <w:p w14:paraId="15DC0072" w14:textId="3A14BE39" w:rsidR="00FE3627" w:rsidRPr="005A6F42" w:rsidRDefault="005A6F42" w:rsidP="005A6F42">
      <w:pPr>
        <w:shd w:val="clear" w:color="auto" w:fill="FFFFFF"/>
        <w:jc w:val="both"/>
        <w:rPr>
          <w:color w:val="000000"/>
        </w:rPr>
      </w:pPr>
      <w:r>
        <w:rPr>
          <w:rFonts w:ascii="Arial" w:eastAsia="Times New Roman" w:hAnsi="Arial" w:cs="Arial"/>
        </w:rPr>
        <w:t xml:space="preserve">Sulla </w:t>
      </w:r>
      <w:r>
        <w:rPr>
          <w:rFonts w:ascii="Arial" w:eastAsia="Times New Roman" w:hAnsi="Arial" w:cs="Arial"/>
          <w:b/>
          <w:bCs/>
        </w:rPr>
        <w:t>riforma</w:t>
      </w:r>
      <w:r>
        <w:rPr>
          <w:rFonts w:ascii="Arial" w:eastAsia="Times New Roman" w:hAnsi="Arial" w:cs="Arial"/>
        </w:rPr>
        <w:t xml:space="preserve"> della Giustizia tributaria, Costa ha sostenuto “la necessità di preservare la </w:t>
      </w:r>
      <w:r>
        <w:rPr>
          <w:rFonts w:ascii="Arial" w:eastAsia="Times New Roman" w:hAnsi="Arial" w:cs="Arial"/>
          <w:b/>
          <w:bCs/>
        </w:rPr>
        <w:t>natura speciale</w:t>
      </w:r>
      <w:r>
        <w:rPr>
          <w:rFonts w:ascii="Arial" w:eastAsia="Times New Roman" w:hAnsi="Arial" w:cs="Arial"/>
        </w:rPr>
        <w:t xml:space="preserve"> della giurisdizione tributaria e di </w:t>
      </w:r>
      <w:r>
        <w:rPr>
          <w:rFonts w:ascii="Arial" w:eastAsia="Times New Roman" w:hAnsi="Arial" w:cs="Arial"/>
          <w:b/>
          <w:bCs/>
        </w:rPr>
        <w:t>ridefinire i criteri di selezione</w:t>
      </w:r>
      <w:r>
        <w:rPr>
          <w:rFonts w:ascii="Arial" w:eastAsia="Times New Roman" w:hAnsi="Arial" w:cs="Arial"/>
        </w:rPr>
        <w:t xml:space="preserve"> dei giudici tributari, in modo da garantire una loro </w:t>
      </w:r>
      <w:r>
        <w:rPr>
          <w:rFonts w:ascii="Arial" w:eastAsia="Times New Roman" w:hAnsi="Arial" w:cs="Arial"/>
          <w:b/>
          <w:bCs/>
        </w:rPr>
        <w:t>maggiore specializzazione</w:t>
      </w:r>
      <w:r>
        <w:rPr>
          <w:rFonts w:ascii="Arial" w:eastAsia="Times New Roman" w:hAnsi="Arial" w:cs="Arial"/>
        </w:rPr>
        <w:t xml:space="preserve"> anche attraverso la previsione dell’obbligo di </w:t>
      </w:r>
      <w:r>
        <w:rPr>
          <w:rFonts w:ascii="Arial" w:eastAsia="Times New Roman" w:hAnsi="Arial" w:cs="Arial"/>
          <w:b/>
          <w:bCs/>
        </w:rPr>
        <w:t>formazione continua</w:t>
      </w:r>
      <w:r>
        <w:rPr>
          <w:rFonts w:ascii="Arial" w:eastAsia="Times New Roman" w:hAnsi="Arial" w:cs="Arial"/>
        </w:rPr>
        <w:t xml:space="preserve">, salvaguardando, beninteso, le </w:t>
      </w:r>
      <w:r>
        <w:rPr>
          <w:rFonts w:ascii="Arial" w:eastAsia="Times New Roman" w:hAnsi="Arial" w:cs="Arial"/>
          <w:b/>
          <w:bCs/>
        </w:rPr>
        <w:t>professionalità acquisite</w:t>
      </w:r>
      <w:r>
        <w:rPr>
          <w:rFonts w:ascii="Arial" w:eastAsia="Times New Roman" w:hAnsi="Arial" w:cs="Arial"/>
        </w:rPr>
        <w:t xml:space="preserve"> dagli attuali giudici tributari e la virtuosa presenza dei professionisti nelle Commissioni tributarie con un adeguato </w:t>
      </w:r>
      <w:r>
        <w:rPr>
          <w:rFonts w:ascii="Arial" w:eastAsia="Times New Roman" w:hAnsi="Arial" w:cs="Arial"/>
          <w:b/>
          <w:bCs/>
        </w:rPr>
        <w:t>periodo transitorio</w:t>
      </w:r>
      <w:r>
        <w:rPr>
          <w:rFonts w:ascii="Arial" w:eastAsia="Times New Roman" w:hAnsi="Arial" w:cs="Arial"/>
        </w:rPr>
        <w:t xml:space="preserve">”. Costa ha poi sottolineato “un aspetto senza il quale nessuna riforma della Giustizia tributaria potrà mai dare pienamente gli effetti sperati, ossia la ormai non più rinviabile necessità di intervenire sulla </w:t>
      </w:r>
      <w:r>
        <w:rPr>
          <w:rFonts w:ascii="Arial" w:eastAsia="Times New Roman" w:hAnsi="Arial" w:cs="Arial"/>
          <w:b/>
          <w:bCs/>
        </w:rPr>
        <w:t>riduzione della pressione fiscale</w:t>
      </w:r>
      <w:r>
        <w:rPr>
          <w:rFonts w:ascii="Arial" w:eastAsia="Times New Roman" w:hAnsi="Arial" w:cs="Arial"/>
        </w:rPr>
        <w:t xml:space="preserve"> che costituisce il principale </w:t>
      </w:r>
      <w:r>
        <w:rPr>
          <w:rFonts w:ascii="Arial" w:eastAsia="Times New Roman" w:hAnsi="Arial" w:cs="Arial"/>
          <w:b/>
          <w:bCs/>
        </w:rPr>
        <w:t>presupposto per una “tregua” dal punto di vista normativo</w:t>
      </w:r>
      <w:r>
        <w:rPr>
          <w:rFonts w:ascii="Arial" w:eastAsia="Times New Roman" w:hAnsi="Arial" w:cs="Arial"/>
        </w:rPr>
        <w:t xml:space="preserve"> da cui soltanto potrà derivare un sistema fiscale più semplice, chiaro e coerente che possa finalmente garantire maggiore stabilità e certezza normativa e, con essa, maggiore prevedibilità delle sentenze, con positivi effetti anche in termini di riduzione del contenzioso”. </w:t>
      </w:r>
      <w:bookmarkEnd w:id="0"/>
      <w:bookmarkEnd w:id="1"/>
    </w:p>
    <w:sectPr w:rsidR="00FE3627" w:rsidRPr="005A6F42">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C7C4" w14:textId="77777777" w:rsidR="00283ACD" w:rsidRDefault="00283ACD" w:rsidP="00C244F9">
      <w:r>
        <w:separator/>
      </w:r>
    </w:p>
  </w:endnote>
  <w:endnote w:type="continuationSeparator" w:id="0">
    <w:p w14:paraId="67CAA7BB" w14:textId="77777777" w:rsidR="00283ACD" w:rsidRDefault="00283ACD" w:rsidP="00C2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582F" w14:textId="77777777" w:rsidR="00283ACD" w:rsidRDefault="00283ACD" w:rsidP="00C244F9">
      <w:r>
        <w:separator/>
      </w:r>
    </w:p>
  </w:footnote>
  <w:footnote w:type="continuationSeparator" w:id="0">
    <w:p w14:paraId="7495C320" w14:textId="77777777" w:rsidR="00283ACD" w:rsidRDefault="00283ACD" w:rsidP="00C2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348486D0" w:rsidR="008C37D4" w:rsidRPr="002B78A5" w:rsidRDefault="008C37D4" w:rsidP="00C244F9">
    <w:pPr>
      <w:pStyle w:val="Intestazione"/>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B0CA5"/>
    <w:multiLevelType w:val="hybridMultilevel"/>
    <w:tmpl w:val="98B4C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DE2E54"/>
    <w:multiLevelType w:val="multilevel"/>
    <w:tmpl w:val="ECE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44F9"/>
    <w:rsid w:val="00012B13"/>
    <w:rsid w:val="00051A7C"/>
    <w:rsid w:val="00064BB1"/>
    <w:rsid w:val="00066C3D"/>
    <w:rsid w:val="00076EFC"/>
    <w:rsid w:val="000A333E"/>
    <w:rsid w:val="000B1BD1"/>
    <w:rsid w:val="000B235F"/>
    <w:rsid w:val="000B3806"/>
    <w:rsid w:val="000C037B"/>
    <w:rsid w:val="000D60C6"/>
    <w:rsid w:val="00106CDD"/>
    <w:rsid w:val="0011714E"/>
    <w:rsid w:val="00130A4E"/>
    <w:rsid w:val="00137250"/>
    <w:rsid w:val="00144BD8"/>
    <w:rsid w:val="00154A24"/>
    <w:rsid w:val="00155CBB"/>
    <w:rsid w:val="00172C9C"/>
    <w:rsid w:val="00175822"/>
    <w:rsid w:val="00176972"/>
    <w:rsid w:val="001A1D68"/>
    <w:rsid w:val="001D3B37"/>
    <w:rsid w:val="001D3C68"/>
    <w:rsid w:val="001F0475"/>
    <w:rsid w:val="00227B3C"/>
    <w:rsid w:val="00276BA4"/>
    <w:rsid w:val="00283ACD"/>
    <w:rsid w:val="0029157E"/>
    <w:rsid w:val="00293515"/>
    <w:rsid w:val="002B19DD"/>
    <w:rsid w:val="002B78A5"/>
    <w:rsid w:val="002C41B2"/>
    <w:rsid w:val="002D132F"/>
    <w:rsid w:val="002D4028"/>
    <w:rsid w:val="0031138F"/>
    <w:rsid w:val="003216ED"/>
    <w:rsid w:val="003539AF"/>
    <w:rsid w:val="00374EC0"/>
    <w:rsid w:val="003773A3"/>
    <w:rsid w:val="003935EA"/>
    <w:rsid w:val="003B3597"/>
    <w:rsid w:val="003C2E00"/>
    <w:rsid w:val="003C30BF"/>
    <w:rsid w:val="003C6252"/>
    <w:rsid w:val="003D0CE5"/>
    <w:rsid w:val="003E3FF8"/>
    <w:rsid w:val="00410906"/>
    <w:rsid w:val="00422F6B"/>
    <w:rsid w:val="00427803"/>
    <w:rsid w:val="0043052E"/>
    <w:rsid w:val="00444153"/>
    <w:rsid w:val="00473624"/>
    <w:rsid w:val="004B26BB"/>
    <w:rsid w:val="004D027A"/>
    <w:rsid w:val="00502804"/>
    <w:rsid w:val="005276AA"/>
    <w:rsid w:val="005419B9"/>
    <w:rsid w:val="00542E37"/>
    <w:rsid w:val="005528BD"/>
    <w:rsid w:val="00560DF1"/>
    <w:rsid w:val="00574FE2"/>
    <w:rsid w:val="00586B1F"/>
    <w:rsid w:val="005A46C4"/>
    <w:rsid w:val="005A6F42"/>
    <w:rsid w:val="005D1E92"/>
    <w:rsid w:val="005E6369"/>
    <w:rsid w:val="00605191"/>
    <w:rsid w:val="006161FB"/>
    <w:rsid w:val="006273EA"/>
    <w:rsid w:val="006474C3"/>
    <w:rsid w:val="00651652"/>
    <w:rsid w:val="00656D74"/>
    <w:rsid w:val="0066467C"/>
    <w:rsid w:val="0068658C"/>
    <w:rsid w:val="00686B3A"/>
    <w:rsid w:val="0069664C"/>
    <w:rsid w:val="006B481F"/>
    <w:rsid w:val="006D0BEF"/>
    <w:rsid w:val="006E2981"/>
    <w:rsid w:val="006F4EC2"/>
    <w:rsid w:val="007578E3"/>
    <w:rsid w:val="00792220"/>
    <w:rsid w:val="007B4E5F"/>
    <w:rsid w:val="007E01E7"/>
    <w:rsid w:val="007F0536"/>
    <w:rsid w:val="007F2B52"/>
    <w:rsid w:val="0080067F"/>
    <w:rsid w:val="00800A12"/>
    <w:rsid w:val="0081049B"/>
    <w:rsid w:val="00813B39"/>
    <w:rsid w:val="00816D15"/>
    <w:rsid w:val="00893C4E"/>
    <w:rsid w:val="008C37D4"/>
    <w:rsid w:val="00911D15"/>
    <w:rsid w:val="009258D3"/>
    <w:rsid w:val="0093670D"/>
    <w:rsid w:val="00984D51"/>
    <w:rsid w:val="009C53C6"/>
    <w:rsid w:val="009D57D0"/>
    <w:rsid w:val="009F1487"/>
    <w:rsid w:val="009F4D75"/>
    <w:rsid w:val="00A604B1"/>
    <w:rsid w:val="00A866E4"/>
    <w:rsid w:val="00AF23ED"/>
    <w:rsid w:val="00B15598"/>
    <w:rsid w:val="00B33AAD"/>
    <w:rsid w:val="00B37115"/>
    <w:rsid w:val="00B44571"/>
    <w:rsid w:val="00B46E7F"/>
    <w:rsid w:val="00B60C04"/>
    <w:rsid w:val="00B73BD6"/>
    <w:rsid w:val="00B84783"/>
    <w:rsid w:val="00B92689"/>
    <w:rsid w:val="00BA2C69"/>
    <w:rsid w:val="00BB3D1D"/>
    <w:rsid w:val="00BC55A4"/>
    <w:rsid w:val="00C244F9"/>
    <w:rsid w:val="00C24C60"/>
    <w:rsid w:val="00C2741C"/>
    <w:rsid w:val="00C306B1"/>
    <w:rsid w:val="00C63146"/>
    <w:rsid w:val="00C66822"/>
    <w:rsid w:val="00C719EB"/>
    <w:rsid w:val="00C74FC6"/>
    <w:rsid w:val="00C801B1"/>
    <w:rsid w:val="00CA5E3D"/>
    <w:rsid w:val="00CA7FD0"/>
    <w:rsid w:val="00D0617D"/>
    <w:rsid w:val="00D06F3A"/>
    <w:rsid w:val="00D64987"/>
    <w:rsid w:val="00DA3824"/>
    <w:rsid w:val="00DB6DAF"/>
    <w:rsid w:val="00DC37B4"/>
    <w:rsid w:val="00DC7566"/>
    <w:rsid w:val="00DD1BB9"/>
    <w:rsid w:val="00DE3A12"/>
    <w:rsid w:val="00DF6872"/>
    <w:rsid w:val="00E00966"/>
    <w:rsid w:val="00E477DB"/>
    <w:rsid w:val="00E47BE0"/>
    <w:rsid w:val="00E50272"/>
    <w:rsid w:val="00E507D0"/>
    <w:rsid w:val="00E83416"/>
    <w:rsid w:val="00E97876"/>
    <w:rsid w:val="00EA13DD"/>
    <w:rsid w:val="00EC0B46"/>
    <w:rsid w:val="00EC2930"/>
    <w:rsid w:val="00EE38DA"/>
    <w:rsid w:val="00F04783"/>
    <w:rsid w:val="00F362C1"/>
    <w:rsid w:val="00F37E61"/>
    <w:rsid w:val="00F6642C"/>
    <w:rsid w:val="00FA00F8"/>
    <w:rsid w:val="00FC7471"/>
    <w:rsid w:val="00FE36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52A5"/>
  <w15:docId w15:val="{EC806EC5-EB2F-4724-A76C-A05FD2E7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6F42"/>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customStyle="1" w:styleId="Menzionenonrisolta1">
    <w:name w:val="Menzione non risolta1"/>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1BB9"/>
  </w:style>
  <w:style w:type="paragraph" w:customStyle="1" w:styleId="xmsonormal">
    <w:name w:val="x_msonormal"/>
    <w:basedOn w:val="Normale"/>
    <w:rsid w:val="0081049B"/>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64987"/>
    <w:rPr>
      <w:b/>
      <w:bCs/>
    </w:rPr>
  </w:style>
  <w:style w:type="paragraph" w:customStyle="1" w:styleId="Default">
    <w:name w:val="Default"/>
    <w:rsid w:val="009258D3"/>
    <w:pPr>
      <w:autoSpaceDE w:val="0"/>
      <w:autoSpaceDN w:val="0"/>
      <w:adjustRightInd w:val="0"/>
      <w:spacing w:after="0" w:line="240" w:lineRule="auto"/>
    </w:pPr>
    <w:rPr>
      <w:rFonts w:ascii="Calibri" w:eastAsia="Times New Roman" w:hAnsi="Calibri" w:cs="Calibri"/>
      <w:color w:val="000000"/>
      <w:sz w:val="24"/>
      <w:szCs w:val="24"/>
    </w:rPr>
  </w:style>
  <w:style w:type="paragraph" w:styleId="Paragrafoelenco">
    <w:name w:val="List Paragraph"/>
    <w:basedOn w:val="Normale"/>
    <w:uiPriority w:val="34"/>
    <w:qFormat/>
    <w:rsid w:val="00893C4E"/>
    <w:pPr>
      <w:ind w:left="720"/>
      <w:contextualSpacing/>
    </w:pPr>
  </w:style>
  <w:style w:type="paragraph" w:styleId="Nessunaspaziatura">
    <w:name w:val="No Spacing"/>
    <w:uiPriority w:val="1"/>
    <w:qFormat/>
    <w:rsid w:val="00686B3A"/>
    <w:pPr>
      <w:spacing w:after="0" w:line="240" w:lineRule="auto"/>
    </w:pPr>
  </w:style>
  <w:style w:type="paragraph" w:customStyle="1" w:styleId="xmsoplaintext">
    <w:name w:val="x_msoplaintext"/>
    <w:basedOn w:val="Normale"/>
    <w:rsid w:val="006161FB"/>
    <w:pPr>
      <w:spacing w:before="100" w:beforeAutospacing="1" w:after="100" w:afterAutospacing="1"/>
    </w:pPr>
    <w:rPr>
      <w:rFonts w:ascii="Times New Roman" w:eastAsia="Times New Roman" w:hAnsi="Times New Roman" w:cs="Times New Roman"/>
      <w:sz w:val="24"/>
      <w:szCs w:val="24"/>
    </w:rPr>
  </w:style>
  <w:style w:type="paragraph" w:customStyle="1" w:styleId="xp2">
    <w:name w:val="x_p2"/>
    <w:basedOn w:val="Normale"/>
    <w:rsid w:val="006D0BEF"/>
    <w:pPr>
      <w:spacing w:before="100" w:beforeAutospacing="1" w:after="100" w:afterAutospacing="1"/>
    </w:pPr>
    <w:rPr>
      <w:rFonts w:ascii="Times New Roman" w:eastAsia="Times New Roman" w:hAnsi="Times New Roman" w:cs="Times New Roman"/>
      <w:sz w:val="24"/>
      <w:szCs w:val="24"/>
    </w:rPr>
  </w:style>
  <w:style w:type="paragraph" w:customStyle="1" w:styleId="xp3">
    <w:name w:val="x_p3"/>
    <w:basedOn w:val="Normale"/>
    <w:rsid w:val="006D0BEF"/>
    <w:pPr>
      <w:spacing w:before="100" w:beforeAutospacing="1" w:after="100" w:afterAutospacing="1"/>
    </w:pPr>
    <w:rPr>
      <w:rFonts w:ascii="Times New Roman" w:eastAsia="Times New Roman" w:hAnsi="Times New Roman" w:cs="Times New Roman"/>
      <w:sz w:val="24"/>
      <w:szCs w:val="24"/>
    </w:rPr>
  </w:style>
  <w:style w:type="character" w:customStyle="1" w:styleId="xs1">
    <w:name w:val="x_s1"/>
    <w:basedOn w:val="Carpredefinitoparagrafo"/>
    <w:rsid w:val="006D0BEF"/>
  </w:style>
  <w:style w:type="character" w:customStyle="1" w:styleId="xapple-converted-space">
    <w:name w:val="x_apple-converted-space"/>
    <w:basedOn w:val="Carpredefinitoparagrafo"/>
    <w:rsid w:val="006D0BEF"/>
  </w:style>
  <w:style w:type="paragraph" w:customStyle="1" w:styleId="xp4">
    <w:name w:val="x_p4"/>
    <w:basedOn w:val="Normale"/>
    <w:rsid w:val="006D0BEF"/>
    <w:pPr>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7E01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0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4569">
      <w:bodyDiv w:val="1"/>
      <w:marLeft w:val="0"/>
      <w:marRight w:val="0"/>
      <w:marTop w:val="0"/>
      <w:marBottom w:val="0"/>
      <w:divBdr>
        <w:top w:val="none" w:sz="0" w:space="0" w:color="auto"/>
        <w:left w:val="none" w:sz="0" w:space="0" w:color="auto"/>
        <w:bottom w:val="none" w:sz="0" w:space="0" w:color="auto"/>
        <w:right w:val="none" w:sz="0" w:space="0" w:color="auto"/>
      </w:divBdr>
    </w:div>
    <w:div w:id="266813592">
      <w:bodyDiv w:val="1"/>
      <w:marLeft w:val="0"/>
      <w:marRight w:val="0"/>
      <w:marTop w:val="0"/>
      <w:marBottom w:val="0"/>
      <w:divBdr>
        <w:top w:val="none" w:sz="0" w:space="0" w:color="auto"/>
        <w:left w:val="none" w:sz="0" w:space="0" w:color="auto"/>
        <w:bottom w:val="none" w:sz="0" w:space="0" w:color="auto"/>
        <w:right w:val="none" w:sz="0" w:space="0" w:color="auto"/>
      </w:divBdr>
    </w:div>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727530873">
      <w:bodyDiv w:val="1"/>
      <w:marLeft w:val="0"/>
      <w:marRight w:val="0"/>
      <w:marTop w:val="0"/>
      <w:marBottom w:val="0"/>
      <w:divBdr>
        <w:top w:val="none" w:sz="0" w:space="0" w:color="auto"/>
        <w:left w:val="none" w:sz="0" w:space="0" w:color="auto"/>
        <w:bottom w:val="none" w:sz="0" w:space="0" w:color="auto"/>
        <w:right w:val="none" w:sz="0" w:space="0" w:color="auto"/>
      </w:divBdr>
      <w:divsChild>
        <w:div w:id="895705896">
          <w:marLeft w:val="0"/>
          <w:marRight w:val="0"/>
          <w:marTop w:val="0"/>
          <w:marBottom w:val="360"/>
          <w:divBdr>
            <w:top w:val="none" w:sz="0" w:space="0" w:color="auto"/>
            <w:left w:val="none" w:sz="0" w:space="0" w:color="auto"/>
            <w:bottom w:val="none" w:sz="0" w:space="0" w:color="auto"/>
            <w:right w:val="none" w:sz="0" w:space="0" w:color="auto"/>
          </w:divBdr>
        </w:div>
      </w:divsChild>
    </w:div>
    <w:div w:id="771363977">
      <w:bodyDiv w:val="1"/>
      <w:marLeft w:val="0"/>
      <w:marRight w:val="0"/>
      <w:marTop w:val="0"/>
      <w:marBottom w:val="0"/>
      <w:divBdr>
        <w:top w:val="none" w:sz="0" w:space="0" w:color="auto"/>
        <w:left w:val="none" w:sz="0" w:space="0" w:color="auto"/>
        <w:bottom w:val="none" w:sz="0" w:space="0" w:color="auto"/>
        <w:right w:val="none" w:sz="0" w:space="0" w:color="auto"/>
      </w:divBdr>
    </w:div>
    <w:div w:id="932475719">
      <w:bodyDiv w:val="1"/>
      <w:marLeft w:val="0"/>
      <w:marRight w:val="0"/>
      <w:marTop w:val="0"/>
      <w:marBottom w:val="0"/>
      <w:divBdr>
        <w:top w:val="none" w:sz="0" w:space="0" w:color="auto"/>
        <w:left w:val="none" w:sz="0" w:space="0" w:color="auto"/>
        <w:bottom w:val="none" w:sz="0" w:space="0" w:color="auto"/>
        <w:right w:val="none" w:sz="0" w:space="0" w:color="auto"/>
      </w:divBdr>
    </w:div>
    <w:div w:id="1121149481">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357923144">
      <w:bodyDiv w:val="1"/>
      <w:marLeft w:val="0"/>
      <w:marRight w:val="0"/>
      <w:marTop w:val="0"/>
      <w:marBottom w:val="0"/>
      <w:divBdr>
        <w:top w:val="none" w:sz="0" w:space="0" w:color="auto"/>
        <w:left w:val="none" w:sz="0" w:space="0" w:color="auto"/>
        <w:bottom w:val="none" w:sz="0" w:space="0" w:color="auto"/>
        <w:right w:val="none" w:sz="0" w:space="0" w:color="auto"/>
      </w:divBdr>
      <w:divsChild>
        <w:div w:id="984050044">
          <w:marLeft w:val="0"/>
          <w:marRight w:val="0"/>
          <w:marTop w:val="0"/>
          <w:marBottom w:val="0"/>
          <w:divBdr>
            <w:top w:val="none" w:sz="0" w:space="0" w:color="auto"/>
            <w:left w:val="none" w:sz="0" w:space="0" w:color="auto"/>
            <w:bottom w:val="none" w:sz="0" w:space="0" w:color="auto"/>
            <w:right w:val="none" w:sz="0" w:space="0" w:color="auto"/>
          </w:divBdr>
        </w:div>
        <w:div w:id="1140654666">
          <w:marLeft w:val="0"/>
          <w:marRight w:val="0"/>
          <w:marTop w:val="0"/>
          <w:marBottom w:val="0"/>
          <w:divBdr>
            <w:top w:val="none" w:sz="0" w:space="0" w:color="auto"/>
            <w:left w:val="none" w:sz="0" w:space="0" w:color="auto"/>
            <w:bottom w:val="none" w:sz="0" w:space="0" w:color="auto"/>
            <w:right w:val="none" w:sz="0" w:space="0" w:color="auto"/>
          </w:divBdr>
          <w:divsChild>
            <w:div w:id="649869945">
              <w:marLeft w:val="0"/>
              <w:marRight w:val="0"/>
              <w:marTop w:val="0"/>
              <w:marBottom w:val="0"/>
              <w:divBdr>
                <w:top w:val="none" w:sz="0" w:space="0" w:color="auto"/>
                <w:left w:val="none" w:sz="0" w:space="0" w:color="auto"/>
                <w:bottom w:val="none" w:sz="0" w:space="0" w:color="auto"/>
                <w:right w:val="none" w:sz="0" w:space="0" w:color="auto"/>
              </w:divBdr>
              <w:divsChild>
                <w:div w:id="465778232">
                  <w:marLeft w:val="0"/>
                  <w:marRight w:val="0"/>
                  <w:marTop w:val="0"/>
                  <w:marBottom w:val="0"/>
                  <w:divBdr>
                    <w:top w:val="none" w:sz="0" w:space="0" w:color="auto"/>
                    <w:left w:val="none" w:sz="0" w:space="0" w:color="auto"/>
                    <w:bottom w:val="none" w:sz="0" w:space="0" w:color="auto"/>
                    <w:right w:val="none" w:sz="0" w:space="0" w:color="auto"/>
                  </w:divBdr>
                  <w:divsChild>
                    <w:div w:id="355740816">
                      <w:marLeft w:val="0"/>
                      <w:marRight w:val="0"/>
                      <w:marTop w:val="0"/>
                      <w:marBottom w:val="0"/>
                      <w:divBdr>
                        <w:top w:val="none" w:sz="0" w:space="0" w:color="auto"/>
                        <w:left w:val="none" w:sz="0" w:space="0" w:color="auto"/>
                        <w:bottom w:val="none" w:sz="0" w:space="0" w:color="auto"/>
                        <w:right w:val="none" w:sz="0" w:space="0" w:color="auto"/>
                      </w:divBdr>
                      <w:divsChild>
                        <w:div w:id="1951429896">
                          <w:marLeft w:val="0"/>
                          <w:marRight w:val="0"/>
                          <w:marTop w:val="0"/>
                          <w:marBottom w:val="900"/>
                          <w:divBdr>
                            <w:top w:val="none" w:sz="0" w:space="0" w:color="auto"/>
                            <w:left w:val="none" w:sz="0" w:space="0" w:color="auto"/>
                            <w:bottom w:val="none" w:sz="0" w:space="0" w:color="auto"/>
                            <w:right w:val="none" w:sz="0" w:space="0" w:color="auto"/>
                          </w:divBdr>
                        </w:div>
                        <w:div w:id="348719232">
                          <w:marLeft w:val="0"/>
                          <w:marRight w:val="0"/>
                          <w:marTop w:val="0"/>
                          <w:marBottom w:val="0"/>
                          <w:divBdr>
                            <w:top w:val="none" w:sz="0" w:space="0" w:color="auto"/>
                            <w:left w:val="none" w:sz="0" w:space="0" w:color="auto"/>
                            <w:bottom w:val="none" w:sz="0" w:space="0" w:color="auto"/>
                            <w:right w:val="none" w:sz="0" w:space="0" w:color="auto"/>
                          </w:divBdr>
                          <w:divsChild>
                            <w:div w:id="1903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448">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691495179">
      <w:bodyDiv w:val="1"/>
      <w:marLeft w:val="0"/>
      <w:marRight w:val="0"/>
      <w:marTop w:val="0"/>
      <w:marBottom w:val="0"/>
      <w:divBdr>
        <w:top w:val="none" w:sz="0" w:space="0" w:color="auto"/>
        <w:left w:val="none" w:sz="0" w:space="0" w:color="auto"/>
        <w:bottom w:val="none" w:sz="0" w:space="0" w:color="auto"/>
        <w:right w:val="none" w:sz="0" w:space="0" w:color="auto"/>
      </w:divBdr>
    </w:div>
    <w:div w:id="1785610577">
      <w:bodyDiv w:val="1"/>
      <w:marLeft w:val="0"/>
      <w:marRight w:val="0"/>
      <w:marTop w:val="0"/>
      <w:marBottom w:val="0"/>
      <w:divBdr>
        <w:top w:val="none" w:sz="0" w:space="0" w:color="auto"/>
        <w:left w:val="none" w:sz="0" w:space="0" w:color="auto"/>
        <w:bottom w:val="none" w:sz="0" w:space="0" w:color="auto"/>
        <w:right w:val="none" w:sz="0" w:space="0" w:color="auto"/>
      </w:divBdr>
    </w:div>
    <w:div w:id="1828742208">
      <w:bodyDiv w:val="1"/>
      <w:marLeft w:val="0"/>
      <w:marRight w:val="0"/>
      <w:marTop w:val="0"/>
      <w:marBottom w:val="0"/>
      <w:divBdr>
        <w:top w:val="none" w:sz="0" w:space="0" w:color="auto"/>
        <w:left w:val="none" w:sz="0" w:space="0" w:color="auto"/>
        <w:bottom w:val="none" w:sz="0" w:space="0" w:color="auto"/>
        <w:right w:val="none" w:sz="0" w:space="0" w:color="auto"/>
      </w:divBdr>
    </w:div>
    <w:div w:id="1903253097">
      <w:bodyDiv w:val="1"/>
      <w:marLeft w:val="0"/>
      <w:marRight w:val="0"/>
      <w:marTop w:val="0"/>
      <w:marBottom w:val="0"/>
      <w:divBdr>
        <w:top w:val="none" w:sz="0" w:space="0" w:color="auto"/>
        <w:left w:val="none" w:sz="0" w:space="0" w:color="auto"/>
        <w:bottom w:val="none" w:sz="0" w:space="0" w:color="auto"/>
        <w:right w:val="none" w:sz="0" w:space="0" w:color="auto"/>
      </w:divBdr>
    </w:div>
    <w:div w:id="192414167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053338406">
      <w:bodyDiv w:val="1"/>
      <w:marLeft w:val="0"/>
      <w:marRight w:val="0"/>
      <w:marTop w:val="0"/>
      <w:marBottom w:val="0"/>
      <w:divBdr>
        <w:top w:val="none" w:sz="0" w:space="0" w:color="auto"/>
        <w:left w:val="none" w:sz="0" w:space="0" w:color="auto"/>
        <w:bottom w:val="none" w:sz="0" w:space="0" w:color="auto"/>
        <w:right w:val="none" w:sz="0" w:space="0" w:color="auto"/>
      </w:divBdr>
    </w:div>
    <w:div w:id="207542643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FE21-212C-4E92-8A4C-64F8E64A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492</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8</cp:revision>
  <dcterms:created xsi:type="dcterms:W3CDTF">2022-04-04T09:52:00Z</dcterms:created>
  <dcterms:modified xsi:type="dcterms:W3CDTF">2022-04-05T19:33:00Z</dcterms:modified>
</cp:coreProperties>
</file>