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4BEF6" w14:textId="6603C899" w:rsidR="00191DD3" w:rsidRPr="006432B1" w:rsidRDefault="001F07F4" w:rsidP="00A808F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432B1">
        <w:rPr>
          <w:rFonts w:ascii="Arial" w:hAnsi="Arial" w:cs="Arial"/>
          <w:b/>
          <w:bCs/>
        </w:rPr>
        <w:t>COMUNICATO STAMPA</w:t>
      </w:r>
    </w:p>
    <w:p w14:paraId="69AE4294" w14:textId="33BCFE8F" w:rsidR="001F07F4" w:rsidRPr="006432B1" w:rsidRDefault="001F07F4" w:rsidP="00A808F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7E8671" w14:textId="64670478" w:rsidR="00D062D0" w:rsidRPr="006432B1" w:rsidRDefault="00D062D0" w:rsidP="00A808F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432B1">
        <w:rPr>
          <w:rFonts w:ascii="Arial" w:hAnsi="Arial" w:cs="Arial"/>
          <w:b/>
          <w:bCs/>
        </w:rPr>
        <w:t xml:space="preserve">RIFORMA IRPEF: COMMERCIALISTI, </w:t>
      </w:r>
      <w:r w:rsidR="00085C16">
        <w:rPr>
          <w:rFonts w:ascii="Arial" w:hAnsi="Arial" w:cs="Arial"/>
          <w:b/>
          <w:bCs/>
        </w:rPr>
        <w:t>GARANTIRE EQUIT</w:t>
      </w:r>
      <w:r w:rsidR="00564F3B">
        <w:rPr>
          <w:rFonts w:ascii="Arial" w:hAnsi="Arial" w:cs="Arial"/>
          <w:b/>
          <w:bCs/>
        </w:rPr>
        <w:t>À</w:t>
      </w:r>
      <w:r w:rsidR="00085C16">
        <w:rPr>
          <w:rFonts w:ascii="Arial" w:hAnsi="Arial" w:cs="Arial"/>
          <w:b/>
          <w:bCs/>
        </w:rPr>
        <w:t xml:space="preserve"> FISCALE TRA LAVORATORI AUTONOMI E DIPENDENTI</w:t>
      </w:r>
    </w:p>
    <w:p w14:paraId="0052353C" w14:textId="315CC979" w:rsidR="00D645AD" w:rsidRDefault="00D645AD" w:rsidP="00A808F3">
      <w:pPr>
        <w:spacing w:after="0" w:line="240" w:lineRule="auto"/>
        <w:jc w:val="both"/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</w:pPr>
      <w:r w:rsidRPr="006432B1">
        <w:rPr>
          <w:rFonts w:ascii="Arial" w:hAnsi="Arial" w:cs="Arial"/>
          <w:b/>
          <w:bCs/>
          <w:color w:val="000000" w:themeColor="text1"/>
        </w:rPr>
        <w:t>La categoria in audizione parlamentare</w:t>
      </w:r>
      <w:r w:rsidR="0068400F" w:rsidRPr="006432B1">
        <w:rPr>
          <w:rFonts w:ascii="Arial" w:hAnsi="Arial" w:cs="Arial"/>
          <w:b/>
          <w:bCs/>
          <w:color w:val="000000" w:themeColor="text1"/>
        </w:rPr>
        <w:t>:</w:t>
      </w:r>
      <w:r w:rsidR="000E5CD6" w:rsidRPr="006432B1">
        <w:rPr>
          <w:rFonts w:ascii="Arial" w:hAnsi="Arial" w:cs="Arial"/>
          <w:b/>
          <w:bCs/>
          <w:color w:val="000000" w:themeColor="text1"/>
        </w:rPr>
        <w:t xml:space="preserve"> “</w:t>
      </w:r>
      <w:r w:rsidR="00085C16">
        <w:rPr>
          <w:rFonts w:ascii="Arial" w:hAnsi="Arial" w:cs="Arial"/>
          <w:b/>
          <w:bCs/>
          <w:color w:val="000000" w:themeColor="text1"/>
        </w:rPr>
        <w:t xml:space="preserve">Obiettivo raggiungibile con il “Modello tedesco” o </w:t>
      </w:r>
      <w:r w:rsidR="00A565FC"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f</w:t>
      </w:r>
      <w:r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raziona</w:t>
      </w:r>
      <w:r w:rsidR="00085C16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ndo</w:t>
      </w:r>
      <w:r w:rsidR="000E5CD6"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in due</w:t>
      </w:r>
      <w:r w:rsidRPr="006432B1">
        <w:rPr>
          <w:rFonts w:ascii="Arial" w:hAnsi="Arial" w:cs="Arial"/>
          <w:b/>
          <w:bCs/>
          <w:color w:val="000000" w:themeColor="text1"/>
        </w:rPr>
        <w:t> l’attuale </w:t>
      </w:r>
      <w:r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terzo</w:t>
      </w:r>
      <w:r w:rsidR="0068400F"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scaglione</w:t>
      </w:r>
      <w:r w:rsidR="00A77A90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 e intervenendo sulle detrazioni</w:t>
      </w:r>
      <w:r w:rsidR="00085C16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”</w:t>
      </w:r>
    </w:p>
    <w:p w14:paraId="4FA9F209" w14:textId="77777777" w:rsidR="00A808F3" w:rsidRPr="006432B1" w:rsidRDefault="00A808F3" w:rsidP="00A808F3">
      <w:pPr>
        <w:spacing w:after="0" w:line="240" w:lineRule="auto"/>
        <w:jc w:val="both"/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</w:pPr>
    </w:p>
    <w:p w14:paraId="6388E7A3" w14:textId="77777777" w:rsidR="00A808F3" w:rsidRDefault="00D645AD" w:rsidP="00A808F3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32B1">
        <w:rPr>
          <w:rFonts w:ascii="Arial" w:hAnsi="Arial" w:cs="Arial"/>
          <w:i/>
          <w:iCs/>
          <w:color w:val="000000" w:themeColor="text1"/>
          <w:sz w:val="22"/>
          <w:szCs w:val="22"/>
        </w:rPr>
        <w:t>Roma, 5 marzo 2021 –</w:t>
      </w:r>
      <w:r w:rsidRPr="006432B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93F38">
        <w:rPr>
          <w:rFonts w:ascii="Arial" w:hAnsi="Arial" w:cs="Arial"/>
          <w:color w:val="000000" w:themeColor="text1"/>
          <w:sz w:val="22"/>
          <w:szCs w:val="22"/>
        </w:rPr>
        <w:t>“</w:t>
      </w:r>
      <w:r w:rsidR="00085C16" w:rsidRPr="00AB0589">
        <w:rPr>
          <w:rFonts w:ascii="Arial" w:hAnsi="Arial" w:cs="Arial"/>
          <w:color w:val="000000" w:themeColor="text1"/>
          <w:sz w:val="22"/>
          <w:szCs w:val="22"/>
        </w:rPr>
        <w:t>Bisogna puntare a garantire equità orizzontale tra lavoratori autonomi e dipendenti. Da questo punto di vista è</w:t>
      </w:r>
      <w:r w:rsidR="000E5CD6" w:rsidRPr="00AB0589">
        <w:rPr>
          <w:rFonts w:ascii="Arial" w:hAnsi="Arial" w:cs="Arial"/>
          <w:color w:val="000000" w:themeColor="text1"/>
          <w:sz w:val="22"/>
          <w:szCs w:val="22"/>
        </w:rPr>
        <w:t xml:space="preserve"> tecnicamente condivisibile l’eventuale scelta di passare ad una curva di progressivit</w:t>
      </w:r>
      <w:r w:rsidR="00B3052C">
        <w:rPr>
          <w:rFonts w:ascii="Arial" w:hAnsi="Arial" w:cs="Arial"/>
          <w:color w:val="000000" w:themeColor="text1"/>
          <w:sz w:val="22"/>
          <w:szCs w:val="22"/>
        </w:rPr>
        <w:t>à</w:t>
      </w:r>
      <w:r w:rsidR="000E5CD6" w:rsidRPr="00AB0589">
        <w:rPr>
          <w:rFonts w:ascii="Arial" w:hAnsi="Arial" w:cs="Arial"/>
          <w:color w:val="000000" w:themeColor="text1"/>
          <w:sz w:val="22"/>
          <w:szCs w:val="22"/>
        </w:rPr>
        <w:t xml:space="preserve"> costruita su “</w:t>
      </w:r>
      <w:r w:rsidR="000E5CD6"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modello tedesco</w:t>
      </w:r>
      <w:r w:rsidR="000E5CD6" w:rsidRPr="00AB0589">
        <w:rPr>
          <w:rFonts w:ascii="Arial" w:hAnsi="Arial" w:cs="Arial"/>
          <w:color w:val="000000" w:themeColor="text1"/>
          <w:sz w:val="22"/>
          <w:szCs w:val="22"/>
        </w:rPr>
        <w:t>”, ma riterremmo del pari tecnicamente non condivisibile l’eventuale scelta di procedere alla meramente formale “</w:t>
      </w:r>
      <w:r w:rsidR="000E5CD6"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vestizione alla tedesca</w:t>
      </w:r>
      <w:r w:rsidR="000E5CD6" w:rsidRPr="00AB0589">
        <w:rPr>
          <w:rFonts w:ascii="Arial" w:hAnsi="Arial" w:cs="Arial"/>
          <w:color w:val="000000" w:themeColor="text1"/>
          <w:sz w:val="22"/>
          <w:szCs w:val="22"/>
        </w:rPr>
        <w:t xml:space="preserve">” di una </w:t>
      </w:r>
      <w:r w:rsidR="000E5CD6"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progressivit</w:t>
      </w:r>
      <w:r w:rsidR="00B3052C">
        <w:rPr>
          <w:rFonts w:ascii="Arial" w:hAnsi="Arial" w:cs="Arial"/>
          <w:b/>
          <w:bCs/>
          <w:color w:val="000000" w:themeColor="text1"/>
          <w:sz w:val="22"/>
          <w:szCs w:val="22"/>
        </w:rPr>
        <w:t>à</w:t>
      </w:r>
      <w:r w:rsidR="000E5CD6"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italiana </w:t>
      </w:r>
      <w:r w:rsidR="000E5CD6" w:rsidRPr="00AB0589">
        <w:rPr>
          <w:rFonts w:ascii="Arial" w:hAnsi="Arial" w:cs="Arial"/>
          <w:color w:val="000000" w:themeColor="text1"/>
          <w:sz w:val="22"/>
          <w:szCs w:val="22"/>
        </w:rPr>
        <w:t xml:space="preserve">che, nella sostanza, rimarrebbe ancorata alle sue </w:t>
      </w:r>
      <w:r w:rsidR="000E5CD6"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logiche attuali</w:t>
      </w:r>
      <w:r w:rsidR="000E5CD6" w:rsidRPr="00AB0589">
        <w:rPr>
          <w:rFonts w:ascii="Arial" w:hAnsi="Arial" w:cs="Arial"/>
          <w:color w:val="000000" w:themeColor="text1"/>
          <w:sz w:val="22"/>
          <w:szCs w:val="22"/>
        </w:rPr>
        <w:t>, sia nei suoi profili di sviluppo “verticale”, tra contribuenti con livelli diversi di reddito imponibile, che in quelli di sviluppo “</w:t>
      </w:r>
      <w:r w:rsidR="000E5CD6"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orizzontale</w:t>
      </w:r>
      <w:r w:rsidR="000E5CD6" w:rsidRPr="00AB0589">
        <w:rPr>
          <w:rFonts w:ascii="Arial" w:hAnsi="Arial" w:cs="Arial"/>
          <w:color w:val="000000" w:themeColor="text1"/>
          <w:sz w:val="22"/>
          <w:szCs w:val="22"/>
        </w:rPr>
        <w:t>”, tra contribuenti con lo stesso reddito imponibile, ma tipologie diverse di redditi che concorrono a formarlo”.</w:t>
      </w:r>
    </w:p>
    <w:p w14:paraId="164B054C" w14:textId="77777777" w:rsidR="00A808F3" w:rsidRDefault="00A808F3" w:rsidP="00A808F3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7D586D" w14:textId="162B4D8E" w:rsidR="004533C6" w:rsidRPr="00AB0589" w:rsidRDefault="000E5CD6" w:rsidP="00A808F3">
      <w:pPr>
        <w:pStyle w:val="NormaleWeb"/>
        <w:spacing w:before="0" w:beforeAutospacing="0" w:after="0" w:afterAutospacing="0"/>
        <w:jc w:val="both"/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</w:pPr>
      <w:r w:rsidRPr="00AB0589">
        <w:rPr>
          <w:rFonts w:ascii="Arial" w:hAnsi="Arial" w:cs="Arial"/>
          <w:color w:val="000000" w:themeColor="text1"/>
          <w:sz w:val="22"/>
          <w:szCs w:val="22"/>
        </w:rPr>
        <w:t xml:space="preserve">Lo hanno affermato i Consiglieri nazionali dei commercialisti, </w:t>
      </w:r>
      <w:r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Gilberto Gelosa</w:t>
      </w:r>
      <w:r w:rsidRPr="00AB0589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r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Maurizio Postal</w:t>
      </w:r>
      <w:r w:rsidRPr="00AB0589">
        <w:rPr>
          <w:rFonts w:ascii="Arial" w:hAnsi="Arial" w:cs="Arial"/>
          <w:color w:val="000000" w:themeColor="text1"/>
          <w:sz w:val="22"/>
          <w:szCs w:val="22"/>
        </w:rPr>
        <w:t xml:space="preserve">, nel corso </w:t>
      </w:r>
      <w:r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dell’audizione parlamentare sulla </w:t>
      </w:r>
      <w:r w:rsidRPr="00AB0589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riforma dell’Irpef</w:t>
      </w:r>
      <w:r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 tenutasi presso le Commissioni riunite Finanze e Tesoro di Camera e Senato</w:t>
      </w:r>
      <w:r w:rsidRPr="00AB0589">
        <w:rPr>
          <w:rFonts w:ascii="Arial" w:hAnsi="Arial" w:cs="Arial"/>
          <w:color w:val="000000" w:themeColor="text1"/>
          <w:sz w:val="22"/>
          <w:szCs w:val="22"/>
        </w:rPr>
        <w:t xml:space="preserve">. Per </w:t>
      </w:r>
      <w:r w:rsidR="006432B1" w:rsidRPr="00AB0589">
        <w:rPr>
          <w:rFonts w:ascii="Arial" w:hAnsi="Arial" w:cs="Arial"/>
          <w:color w:val="000000" w:themeColor="text1"/>
          <w:sz w:val="22"/>
          <w:szCs w:val="22"/>
        </w:rPr>
        <w:t xml:space="preserve">i rappresentanti della </w:t>
      </w:r>
      <w:r w:rsidRPr="00AB0589">
        <w:rPr>
          <w:rFonts w:ascii="Arial" w:hAnsi="Arial" w:cs="Arial"/>
          <w:color w:val="000000" w:themeColor="text1"/>
          <w:sz w:val="22"/>
          <w:szCs w:val="22"/>
        </w:rPr>
        <w:t>categoria, che ha</w:t>
      </w:r>
      <w:r w:rsidR="006432B1" w:rsidRPr="00AB0589">
        <w:rPr>
          <w:rFonts w:ascii="Arial" w:hAnsi="Arial" w:cs="Arial"/>
          <w:color w:val="000000" w:themeColor="text1"/>
          <w:sz w:val="22"/>
          <w:szCs w:val="22"/>
        </w:rPr>
        <w:t>nno</w:t>
      </w:r>
      <w:r w:rsidRPr="00AB0589">
        <w:rPr>
          <w:rFonts w:ascii="Arial" w:hAnsi="Arial" w:cs="Arial"/>
          <w:color w:val="000000" w:themeColor="text1"/>
          <w:sz w:val="22"/>
          <w:szCs w:val="22"/>
        </w:rPr>
        <w:t xml:space="preserve"> illustrato anche il Rapporto della Commissione voluta dal Consiglio nazionale e coordinata da </w:t>
      </w:r>
      <w:r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Carlo Cottarelli</w:t>
      </w:r>
      <w:r w:rsidRPr="00AB058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40E03" w:rsidRPr="00AB0589">
        <w:rPr>
          <w:rFonts w:ascii="Arial" w:hAnsi="Arial" w:cs="Arial"/>
          <w:color w:val="000000" w:themeColor="text1"/>
          <w:sz w:val="22"/>
          <w:szCs w:val="22"/>
        </w:rPr>
        <w:t>“</w:t>
      </w:r>
      <w:r w:rsidR="006432B1" w:rsidRPr="00AB0589">
        <w:rPr>
          <w:rFonts w:ascii="Arial" w:hAnsi="Arial" w:cs="Arial"/>
          <w:color w:val="000000" w:themeColor="text1"/>
          <w:sz w:val="22"/>
          <w:szCs w:val="22"/>
        </w:rPr>
        <w:t>se la politica sceglierà invece di mantenere l’attuale sistema di progressività,</w:t>
      </w:r>
      <w:r w:rsidR="00740E03" w:rsidRPr="00AB05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5C16" w:rsidRPr="00AB0589">
        <w:rPr>
          <w:rFonts w:ascii="Arial" w:hAnsi="Arial" w:cs="Arial"/>
          <w:color w:val="000000" w:themeColor="text1"/>
          <w:sz w:val="22"/>
          <w:szCs w:val="22"/>
        </w:rPr>
        <w:t xml:space="preserve">l’alternativa al modello tedesco </w:t>
      </w:r>
      <w:proofErr w:type="gramStart"/>
      <w:r w:rsidR="00085C16" w:rsidRPr="00AB0589">
        <w:rPr>
          <w:rFonts w:ascii="Arial" w:hAnsi="Arial" w:cs="Arial"/>
          <w:color w:val="000000" w:themeColor="text1"/>
          <w:sz w:val="22"/>
          <w:szCs w:val="22"/>
        </w:rPr>
        <w:t>potrebbe essere rappresentata</w:t>
      </w:r>
      <w:proofErr w:type="gramEnd"/>
      <w:r w:rsidR="00085C16" w:rsidRPr="00AB05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692A" w:rsidRPr="00AB0589">
        <w:rPr>
          <w:rFonts w:ascii="Arial" w:hAnsi="Arial" w:cs="Arial"/>
          <w:color w:val="000000" w:themeColor="text1"/>
          <w:sz w:val="22"/>
          <w:szCs w:val="22"/>
        </w:rPr>
        <w:t xml:space="preserve">dal </w:t>
      </w:r>
      <w:r w:rsidR="00D645AD" w:rsidRPr="00AB0589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fraziona</w:t>
      </w:r>
      <w:r w:rsidR="00C7692A" w:rsidRPr="00AB0589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mento </w:t>
      </w:r>
      <w:r w:rsidR="00D645AD" w:rsidRPr="00AB0589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in due</w:t>
      </w:r>
      <w:r w:rsidR="00D645AD" w:rsidRPr="00AB0589">
        <w:rPr>
          <w:rFonts w:ascii="Arial" w:hAnsi="Arial" w:cs="Arial"/>
          <w:color w:val="000000" w:themeColor="text1"/>
          <w:sz w:val="22"/>
          <w:szCs w:val="22"/>
        </w:rPr>
        <w:t> </w:t>
      </w:r>
      <w:r w:rsidR="00893F38">
        <w:rPr>
          <w:rFonts w:ascii="Arial" w:hAnsi="Arial" w:cs="Arial"/>
          <w:color w:val="000000" w:themeColor="text1"/>
          <w:sz w:val="22"/>
          <w:szCs w:val="22"/>
        </w:rPr>
        <w:t>del</w:t>
      </w:r>
      <w:r w:rsidR="00D645AD" w:rsidRPr="00AB0589">
        <w:rPr>
          <w:rFonts w:ascii="Arial" w:hAnsi="Arial" w:cs="Arial"/>
          <w:color w:val="000000" w:themeColor="text1"/>
          <w:sz w:val="22"/>
          <w:szCs w:val="22"/>
        </w:rPr>
        <w:t>l’attuale </w:t>
      </w:r>
      <w:r w:rsidR="00D645AD" w:rsidRPr="00AB0589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terzo scaglione</w:t>
      </w:r>
      <w:r w:rsidR="00A77A90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A77A90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e da un </w:t>
      </w:r>
      <w:r w:rsidR="00A77A90" w:rsidRPr="00A77A90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interven</w:t>
      </w:r>
      <w:r w:rsidR="00A77A90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t</w:t>
      </w:r>
      <w:r w:rsidR="00A77A90" w:rsidRPr="00A77A90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o sulle detrazioni</w:t>
      </w:r>
      <w:r w:rsidR="00C7692A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, al fine di </w:t>
      </w:r>
      <w:r w:rsidR="00C7692A" w:rsidRPr="00AB0589">
        <w:rPr>
          <w:rFonts w:ascii="Arial" w:hAnsi="Arial" w:cs="Arial"/>
          <w:color w:val="000000" w:themeColor="text1"/>
          <w:sz w:val="22"/>
          <w:szCs w:val="22"/>
        </w:rPr>
        <w:t>superare le criticità dell’attuale sistema di tassazione progressiv</w:t>
      </w:r>
      <w:r w:rsidR="00893F38">
        <w:rPr>
          <w:rFonts w:ascii="Arial" w:hAnsi="Arial" w:cs="Arial"/>
          <w:color w:val="000000" w:themeColor="text1"/>
          <w:sz w:val="22"/>
          <w:szCs w:val="22"/>
        </w:rPr>
        <w:t>a</w:t>
      </w:r>
      <w:r w:rsidR="00C92A42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.</w:t>
      </w:r>
      <w:r w:rsidR="00085C16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 Come quella legata al modello tedesco, anche questa seconda opzione </w:t>
      </w:r>
      <w:r w:rsidR="00C7692A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darebbe </w:t>
      </w:r>
      <w:r w:rsidR="00C7692A" w:rsidRPr="00AB0589">
        <w:rPr>
          <w:rStyle w:val="Enfasigrassetto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risultati tangibili</w:t>
      </w:r>
      <w:r w:rsidR="00C7692A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 in termini di </w:t>
      </w:r>
      <w:r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e</w:t>
      </w:r>
      <w:r w:rsidR="00D645AD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quipara</w:t>
      </w:r>
      <w:r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zione</w:t>
      </w:r>
      <w:r w:rsidR="00D645AD"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AB0589">
        <w:rPr>
          <w:rFonts w:ascii="Arial" w:hAnsi="Arial" w:cs="Arial"/>
          <w:color w:val="000000" w:themeColor="text1"/>
          <w:sz w:val="22"/>
          <w:szCs w:val="22"/>
        </w:rPr>
        <w:t>del</w:t>
      </w:r>
      <w:r w:rsidR="00D645AD" w:rsidRPr="00AB0589">
        <w:rPr>
          <w:rFonts w:ascii="Arial" w:hAnsi="Arial" w:cs="Arial"/>
          <w:color w:val="000000" w:themeColor="text1"/>
          <w:sz w:val="22"/>
          <w:szCs w:val="22"/>
        </w:rPr>
        <w:t>la pressione fiscale tra</w:t>
      </w:r>
      <w:r w:rsidR="00D645AD" w:rsidRPr="00AB0589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D645AD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lavoratori autonomi e lavoratori dipendenti</w:t>
      </w:r>
      <w:r w:rsidR="00740E03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”</w:t>
      </w:r>
      <w:r w:rsidR="00D645AD" w:rsidRPr="00AB0589">
        <w:rPr>
          <w:rStyle w:val="Enfasigrassetto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. </w:t>
      </w:r>
    </w:p>
    <w:p w14:paraId="2811204A" w14:textId="77777777" w:rsidR="00A808F3" w:rsidRDefault="00A808F3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FD6C6A9" w14:textId="5716FDBD" w:rsidR="00564F3B" w:rsidRDefault="000E5CD6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432B1">
        <w:rPr>
          <w:rFonts w:ascii="Arial" w:eastAsia="Times New Roman" w:hAnsi="Arial" w:cs="Arial"/>
          <w:lang w:eastAsia="it-IT"/>
        </w:rPr>
        <w:t>Secondo i commercialisti “l</w:t>
      </w:r>
      <w:r w:rsidRPr="000E5CD6">
        <w:rPr>
          <w:rFonts w:ascii="Arial" w:eastAsia="Times New Roman" w:hAnsi="Arial" w:cs="Arial"/>
          <w:lang w:eastAsia="it-IT"/>
        </w:rPr>
        <w:t>’attuale curva della progressivit</w:t>
      </w:r>
      <w:r w:rsidR="00B3052C">
        <w:rPr>
          <w:rFonts w:ascii="Arial" w:eastAsia="Times New Roman" w:hAnsi="Arial" w:cs="Arial"/>
          <w:lang w:eastAsia="it-IT"/>
        </w:rPr>
        <w:t xml:space="preserve">à </w:t>
      </w:r>
      <w:r w:rsidRPr="000E5CD6">
        <w:rPr>
          <w:rFonts w:ascii="Arial" w:eastAsia="Times New Roman" w:hAnsi="Arial" w:cs="Arial"/>
          <w:lang w:eastAsia="it-IT"/>
        </w:rPr>
        <w:t xml:space="preserve">italiana evidenzia </w:t>
      </w:r>
      <w:r w:rsidRPr="000E5CD6">
        <w:rPr>
          <w:rFonts w:ascii="Arial" w:eastAsia="Times New Roman" w:hAnsi="Arial" w:cs="Arial"/>
          <w:b/>
          <w:bCs/>
          <w:lang w:eastAsia="it-IT"/>
        </w:rPr>
        <w:t>tre criticit</w:t>
      </w:r>
      <w:r w:rsidR="00B3052C">
        <w:rPr>
          <w:rFonts w:ascii="Arial" w:eastAsia="Times New Roman" w:hAnsi="Arial" w:cs="Arial"/>
          <w:b/>
          <w:bCs/>
          <w:lang w:eastAsia="it-IT"/>
        </w:rPr>
        <w:t>à</w:t>
      </w:r>
      <w:r w:rsidRPr="000E5CD6">
        <w:rPr>
          <w:rFonts w:ascii="Arial" w:eastAsia="Times New Roman" w:hAnsi="Arial" w:cs="Arial"/>
          <w:lang w:eastAsia="it-IT"/>
        </w:rPr>
        <w:t xml:space="preserve"> principali</w:t>
      </w:r>
      <w:r w:rsidR="00740E03" w:rsidRPr="006432B1">
        <w:rPr>
          <w:rFonts w:ascii="Arial" w:eastAsia="Times New Roman" w:hAnsi="Arial" w:cs="Arial"/>
          <w:lang w:eastAsia="it-IT"/>
        </w:rPr>
        <w:t>. I</w:t>
      </w:r>
      <w:r w:rsidRPr="000E5CD6">
        <w:rPr>
          <w:rFonts w:ascii="Arial" w:eastAsia="Times New Roman" w:hAnsi="Arial" w:cs="Arial"/>
          <w:lang w:eastAsia="it-IT"/>
        </w:rPr>
        <w:t xml:space="preserve">n corrispondenza dei </w:t>
      </w:r>
      <w:r w:rsidRPr="000E5CD6">
        <w:rPr>
          <w:rFonts w:ascii="Arial" w:eastAsia="Times New Roman" w:hAnsi="Arial" w:cs="Arial"/>
          <w:b/>
          <w:bCs/>
          <w:lang w:eastAsia="it-IT"/>
        </w:rPr>
        <w:t>redditi bassi e medio-bassi (fino a 28.000 euro)</w:t>
      </w:r>
      <w:r w:rsidRPr="00564F3B">
        <w:rPr>
          <w:rFonts w:ascii="Arial" w:eastAsia="Times New Roman" w:hAnsi="Arial" w:cs="Arial"/>
          <w:lang w:eastAsia="it-IT"/>
        </w:rPr>
        <w:t>,</w:t>
      </w:r>
      <w:r w:rsidRPr="000E5CD6">
        <w:rPr>
          <w:rFonts w:ascii="Arial" w:eastAsia="Times New Roman" w:hAnsi="Arial" w:cs="Arial"/>
          <w:lang w:eastAsia="it-IT"/>
        </w:rPr>
        <w:t xml:space="preserve"> </w:t>
      </w:r>
      <w:r w:rsidR="00740E03" w:rsidRPr="006432B1">
        <w:rPr>
          <w:rFonts w:ascii="Arial" w:eastAsia="Times New Roman" w:hAnsi="Arial" w:cs="Arial"/>
          <w:lang w:eastAsia="it-IT"/>
        </w:rPr>
        <w:t xml:space="preserve">ci sono </w:t>
      </w:r>
      <w:r w:rsidRPr="000E5CD6">
        <w:rPr>
          <w:rFonts w:ascii="Arial" w:eastAsia="Times New Roman" w:hAnsi="Arial" w:cs="Arial"/>
          <w:b/>
          <w:bCs/>
          <w:lang w:eastAsia="it-IT"/>
        </w:rPr>
        <w:t xml:space="preserve">differenze molto accentuate </w:t>
      </w:r>
      <w:r w:rsidRPr="000E5CD6">
        <w:rPr>
          <w:rFonts w:ascii="Arial" w:eastAsia="Times New Roman" w:hAnsi="Arial" w:cs="Arial"/>
          <w:lang w:eastAsia="it-IT"/>
        </w:rPr>
        <w:t>tra contribuenti con lo stesso ammontare di reddito imponibile, ma tipologie di redditi diversi che concorrono a formarlo (questione della c.d. “equit</w:t>
      </w:r>
      <w:r w:rsidR="00B3052C">
        <w:rPr>
          <w:rFonts w:ascii="Arial" w:eastAsia="Times New Roman" w:hAnsi="Arial" w:cs="Arial"/>
          <w:lang w:eastAsia="it-IT"/>
        </w:rPr>
        <w:t>à</w:t>
      </w:r>
      <w:r w:rsidRPr="000E5CD6">
        <w:rPr>
          <w:rFonts w:ascii="Arial" w:eastAsia="Times New Roman" w:hAnsi="Arial" w:cs="Arial"/>
          <w:lang w:eastAsia="it-IT"/>
        </w:rPr>
        <w:t xml:space="preserve"> orizzontale”), dovuta all’effetto combinato di detrazioni decrescenti differenziate e, soprattutto, del bonus 100 euro</w:t>
      </w:r>
      <w:r w:rsidR="00740E03" w:rsidRPr="006432B1">
        <w:rPr>
          <w:rFonts w:ascii="Arial" w:eastAsia="Times New Roman" w:hAnsi="Arial" w:cs="Arial"/>
          <w:lang w:eastAsia="it-IT"/>
        </w:rPr>
        <w:t xml:space="preserve">. </w:t>
      </w:r>
      <w:r w:rsidRPr="000E5CD6">
        <w:rPr>
          <w:rFonts w:ascii="Arial" w:eastAsia="Times New Roman" w:hAnsi="Arial" w:cs="Arial"/>
          <w:lang w:eastAsia="it-IT"/>
        </w:rPr>
        <w:t xml:space="preserve"> </w:t>
      </w:r>
      <w:r w:rsidR="00740E03" w:rsidRPr="006432B1">
        <w:rPr>
          <w:rFonts w:ascii="Arial" w:eastAsia="Times New Roman" w:hAnsi="Arial" w:cs="Arial"/>
          <w:lang w:eastAsia="it-IT"/>
        </w:rPr>
        <w:t xml:space="preserve">In </w:t>
      </w:r>
      <w:r w:rsidRPr="000E5CD6">
        <w:rPr>
          <w:rFonts w:ascii="Arial" w:eastAsia="Times New Roman" w:hAnsi="Arial" w:cs="Arial"/>
          <w:lang w:eastAsia="it-IT"/>
        </w:rPr>
        <w:t xml:space="preserve"> corrispondenza dei </w:t>
      </w:r>
      <w:r w:rsidRPr="000E5CD6">
        <w:rPr>
          <w:rFonts w:ascii="Arial" w:eastAsia="Times New Roman" w:hAnsi="Arial" w:cs="Arial"/>
          <w:b/>
          <w:bCs/>
          <w:lang w:eastAsia="it-IT"/>
        </w:rPr>
        <w:t>redditi medi e medio-alti (da 28.000 a 75.000 euro)</w:t>
      </w:r>
      <w:r w:rsidRPr="00564F3B">
        <w:rPr>
          <w:rFonts w:ascii="Arial" w:eastAsia="Times New Roman" w:hAnsi="Arial" w:cs="Arial"/>
          <w:lang w:eastAsia="it-IT"/>
        </w:rPr>
        <w:t xml:space="preserve">, </w:t>
      </w:r>
      <w:r w:rsidR="00740E03" w:rsidRPr="006432B1">
        <w:rPr>
          <w:rFonts w:ascii="Arial" w:eastAsia="Times New Roman" w:hAnsi="Arial" w:cs="Arial"/>
          <w:lang w:eastAsia="it-IT"/>
        </w:rPr>
        <w:t xml:space="preserve">si rileva </w:t>
      </w:r>
      <w:r w:rsidRPr="000E5CD6">
        <w:rPr>
          <w:rFonts w:ascii="Arial" w:eastAsia="Times New Roman" w:hAnsi="Arial" w:cs="Arial"/>
          <w:lang w:eastAsia="it-IT"/>
        </w:rPr>
        <w:t xml:space="preserve">una crescita </w:t>
      </w:r>
      <w:r w:rsidRPr="000E5CD6">
        <w:rPr>
          <w:rFonts w:ascii="Arial" w:eastAsia="Times New Roman" w:hAnsi="Arial" w:cs="Arial"/>
          <w:b/>
          <w:bCs/>
          <w:lang w:eastAsia="it-IT"/>
        </w:rPr>
        <w:t>eccessivamente sostenuta dell’aliquota media effettiva</w:t>
      </w:r>
      <w:r w:rsidRPr="000E5CD6">
        <w:rPr>
          <w:rFonts w:ascii="Arial" w:eastAsia="Times New Roman" w:hAnsi="Arial" w:cs="Arial"/>
          <w:lang w:eastAsia="it-IT"/>
        </w:rPr>
        <w:t>, dovuta a una curva della progressivit</w:t>
      </w:r>
      <w:r w:rsidR="00B3052C">
        <w:rPr>
          <w:rFonts w:ascii="Arial" w:eastAsia="Times New Roman" w:hAnsi="Arial" w:cs="Arial"/>
          <w:lang w:eastAsia="it-IT"/>
        </w:rPr>
        <w:t xml:space="preserve">à </w:t>
      </w:r>
      <w:r w:rsidRPr="000E5CD6">
        <w:rPr>
          <w:rFonts w:ascii="Arial" w:eastAsia="Times New Roman" w:hAnsi="Arial" w:cs="Arial"/>
          <w:lang w:eastAsia="it-IT"/>
        </w:rPr>
        <w:t>che, gi</w:t>
      </w:r>
      <w:r w:rsidR="00B3052C">
        <w:rPr>
          <w:rFonts w:ascii="Arial" w:eastAsia="Times New Roman" w:hAnsi="Arial" w:cs="Arial"/>
          <w:lang w:eastAsia="it-IT"/>
        </w:rPr>
        <w:t>à</w:t>
      </w:r>
      <w:r w:rsidRPr="000E5CD6">
        <w:rPr>
          <w:rFonts w:ascii="Arial" w:eastAsia="Times New Roman" w:hAnsi="Arial" w:cs="Arial"/>
          <w:lang w:eastAsia="it-IT"/>
        </w:rPr>
        <w:t xml:space="preserve"> in corrispondenza dei 28.000 euro di reddito imponibile, passa ad una </w:t>
      </w:r>
      <w:r w:rsidRPr="000E5CD6">
        <w:rPr>
          <w:rFonts w:ascii="Arial" w:eastAsia="Times New Roman" w:hAnsi="Arial" w:cs="Arial"/>
          <w:b/>
          <w:bCs/>
          <w:lang w:eastAsia="it-IT"/>
        </w:rPr>
        <w:t>aliquota marginale del 38%,</w:t>
      </w:r>
      <w:r w:rsidRPr="000E5CD6">
        <w:rPr>
          <w:rFonts w:ascii="Arial" w:eastAsia="Times New Roman" w:hAnsi="Arial" w:cs="Arial"/>
          <w:lang w:eastAsia="it-IT"/>
        </w:rPr>
        <w:t xml:space="preserve"> con un salto di ben </w:t>
      </w:r>
      <w:r w:rsidRPr="000E5CD6">
        <w:rPr>
          <w:rFonts w:ascii="Arial" w:eastAsia="Times New Roman" w:hAnsi="Arial" w:cs="Arial"/>
          <w:b/>
          <w:bCs/>
          <w:lang w:eastAsia="it-IT"/>
        </w:rPr>
        <w:t>11 punti percentuali</w:t>
      </w:r>
      <w:r w:rsidRPr="000E5CD6">
        <w:rPr>
          <w:rFonts w:ascii="Arial" w:eastAsia="Times New Roman" w:hAnsi="Arial" w:cs="Arial"/>
          <w:lang w:eastAsia="it-IT"/>
        </w:rPr>
        <w:t xml:space="preserve"> dallo scaglione precedente, in un contesto in cui, parallelamente, continuano a decrescere rapidamente le detrazioni per redditi da lavoro e pensione, fino ad azzerarsi a 55.000 euro</w:t>
      </w:r>
      <w:r w:rsidR="00740E03" w:rsidRPr="006432B1">
        <w:rPr>
          <w:rFonts w:ascii="Arial" w:eastAsia="Times New Roman" w:hAnsi="Arial" w:cs="Arial"/>
          <w:lang w:eastAsia="it-IT"/>
        </w:rPr>
        <w:t xml:space="preserve">. In </w:t>
      </w:r>
      <w:r w:rsidRPr="000E5CD6">
        <w:rPr>
          <w:rFonts w:ascii="Arial" w:eastAsia="Times New Roman" w:hAnsi="Arial" w:cs="Arial"/>
          <w:lang w:eastAsia="it-IT"/>
        </w:rPr>
        <w:t xml:space="preserve">corrispondenza dei </w:t>
      </w:r>
      <w:r w:rsidRPr="000E5CD6">
        <w:rPr>
          <w:rFonts w:ascii="Arial" w:eastAsia="Times New Roman" w:hAnsi="Arial" w:cs="Arial"/>
          <w:b/>
          <w:bCs/>
          <w:lang w:eastAsia="it-IT"/>
        </w:rPr>
        <w:t>redditi molto elevati (oltre 500.000 euro)</w:t>
      </w:r>
      <w:r w:rsidRPr="00564F3B">
        <w:rPr>
          <w:rFonts w:ascii="Arial" w:eastAsia="Times New Roman" w:hAnsi="Arial" w:cs="Arial"/>
          <w:lang w:eastAsia="it-IT"/>
        </w:rPr>
        <w:t>,</w:t>
      </w:r>
      <w:r w:rsidRPr="000E5CD6">
        <w:rPr>
          <w:rFonts w:ascii="Arial" w:eastAsia="Times New Roman" w:hAnsi="Arial" w:cs="Arial"/>
          <w:lang w:eastAsia="it-IT"/>
        </w:rPr>
        <w:t xml:space="preserve"> </w:t>
      </w:r>
      <w:r w:rsidR="00740E03" w:rsidRPr="006432B1">
        <w:rPr>
          <w:rFonts w:ascii="Arial" w:eastAsia="Times New Roman" w:hAnsi="Arial" w:cs="Arial"/>
          <w:lang w:eastAsia="it-IT"/>
        </w:rPr>
        <w:t xml:space="preserve">infine, le </w:t>
      </w:r>
      <w:r w:rsidRPr="000E5CD6">
        <w:rPr>
          <w:rFonts w:ascii="Arial" w:eastAsia="Times New Roman" w:hAnsi="Arial" w:cs="Arial"/>
          <w:lang w:eastAsia="it-IT"/>
        </w:rPr>
        <w:t xml:space="preserve">aliquote medie effettive divengono addirittura </w:t>
      </w:r>
      <w:r w:rsidRPr="000E5CD6">
        <w:rPr>
          <w:rFonts w:ascii="Arial" w:eastAsia="Times New Roman" w:hAnsi="Arial" w:cs="Arial"/>
          <w:b/>
          <w:bCs/>
          <w:lang w:eastAsia="it-IT"/>
        </w:rPr>
        <w:t>pi</w:t>
      </w:r>
      <w:r w:rsidR="00B3052C">
        <w:rPr>
          <w:rFonts w:ascii="Arial" w:eastAsia="Times New Roman" w:hAnsi="Arial" w:cs="Arial"/>
          <w:b/>
          <w:bCs/>
          <w:lang w:eastAsia="it-IT"/>
        </w:rPr>
        <w:t>ù</w:t>
      </w:r>
      <w:r w:rsidRPr="000E5CD6">
        <w:rPr>
          <w:rFonts w:ascii="Arial" w:eastAsia="Times New Roman" w:hAnsi="Arial" w:cs="Arial"/>
          <w:b/>
          <w:bCs/>
          <w:lang w:eastAsia="it-IT"/>
        </w:rPr>
        <w:t xml:space="preserve"> favorevoli di quelle di altri Paesi (Germania) </w:t>
      </w:r>
      <w:r w:rsidRPr="000E5CD6">
        <w:rPr>
          <w:rFonts w:ascii="Arial" w:eastAsia="Times New Roman" w:hAnsi="Arial" w:cs="Arial"/>
          <w:lang w:eastAsia="it-IT"/>
        </w:rPr>
        <w:t>rispetto ai quali, fino a tale soglia, sussiste un rapporto inverso di “convenienza” tra le due curve, nel senso che fino a 500.000 euro di reddito imponibile l’aliquota media effettiva italiana è invece pi</w:t>
      </w:r>
      <w:r w:rsidR="00B3052C">
        <w:rPr>
          <w:rFonts w:ascii="Arial" w:eastAsia="Times New Roman" w:hAnsi="Arial" w:cs="Arial"/>
          <w:lang w:eastAsia="it-IT"/>
        </w:rPr>
        <w:t>ù</w:t>
      </w:r>
      <w:r w:rsidRPr="000E5CD6">
        <w:rPr>
          <w:rFonts w:ascii="Arial" w:eastAsia="Times New Roman" w:hAnsi="Arial" w:cs="Arial"/>
          <w:lang w:eastAsia="it-IT"/>
        </w:rPr>
        <w:t xml:space="preserve"> elevata di quella tedesca</w:t>
      </w:r>
      <w:r w:rsidR="00740E03" w:rsidRPr="006432B1">
        <w:rPr>
          <w:rFonts w:ascii="Arial" w:eastAsia="Times New Roman" w:hAnsi="Arial" w:cs="Arial"/>
          <w:lang w:eastAsia="it-IT"/>
        </w:rPr>
        <w:t>”</w:t>
      </w:r>
      <w:r w:rsidRPr="000E5CD6">
        <w:rPr>
          <w:rFonts w:ascii="Arial" w:eastAsia="Times New Roman" w:hAnsi="Arial" w:cs="Arial"/>
          <w:lang w:eastAsia="it-IT"/>
        </w:rPr>
        <w:t xml:space="preserve">. </w:t>
      </w:r>
      <w:r w:rsidR="00740E03" w:rsidRPr="006432B1">
        <w:rPr>
          <w:rFonts w:ascii="Arial" w:eastAsia="Times New Roman" w:hAnsi="Arial" w:cs="Arial"/>
          <w:lang w:eastAsia="it-IT"/>
        </w:rPr>
        <w:t>Secon</w:t>
      </w:r>
      <w:r w:rsidR="00A565FC" w:rsidRPr="006432B1">
        <w:rPr>
          <w:rFonts w:ascii="Arial" w:eastAsia="Times New Roman" w:hAnsi="Arial" w:cs="Arial"/>
          <w:lang w:eastAsia="it-IT"/>
        </w:rPr>
        <w:t>d</w:t>
      </w:r>
      <w:r w:rsidR="00740E03" w:rsidRPr="006432B1">
        <w:rPr>
          <w:rFonts w:ascii="Arial" w:eastAsia="Times New Roman" w:hAnsi="Arial" w:cs="Arial"/>
          <w:lang w:eastAsia="it-IT"/>
        </w:rPr>
        <w:t>o Gelosa e Postal</w:t>
      </w:r>
      <w:r w:rsidR="00564F3B">
        <w:rPr>
          <w:rFonts w:ascii="Arial" w:eastAsia="Times New Roman" w:hAnsi="Arial" w:cs="Arial"/>
          <w:lang w:eastAsia="it-IT"/>
        </w:rPr>
        <w:t>,</w:t>
      </w:r>
      <w:r w:rsidR="00740E03" w:rsidRPr="006432B1">
        <w:rPr>
          <w:rFonts w:ascii="Arial" w:eastAsia="Times New Roman" w:hAnsi="Arial" w:cs="Arial"/>
          <w:lang w:eastAsia="it-IT"/>
        </w:rPr>
        <w:t xml:space="preserve"> “</w:t>
      </w:r>
      <w:r w:rsidR="00564F3B">
        <w:rPr>
          <w:rFonts w:ascii="Arial" w:eastAsia="Times New Roman" w:hAnsi="Arial" w:cs="Arial"/>
          <w:lang w:eastAsia="it-IT"/>
        </w:rPr>
        <w:t>i</w:t>
      </w:r>
      <w:r w:rsidRPr="000E5CD6">
        <w:rPr>
          <w:rFonts w:ascii="Arial" w:eastAsia="Times New Roman" w:hAnsi="Arial" w:cs="Arial"/>
          <w:lang w:eastAsia="it-IT"/>
        </w:rPr>
        <w:t>l passaggio ad una curva della progressivit</w:t>
      </w:r>
      <w:r w:rsidR="00B3052C">
        <w:rPr>
          <w:rFonts w:ascii="Arial" w:eastAsia="Times New Roman" w:hAnsi="Arial" w:cs="Arial"/>
          <w:lang w:eastAsia="it-IT"/>
        </w:rPr>
        <w:t>à</w:t>
      </w:r>
      <w:r w:rsidRPr="000E5CD6">
        <w:rPr>
          <w:rFonts w:ascii="Arial" w:eastAsia="Times New Roman" w:hAnsi="Arial" w:cs="Arial"/>
          <w:lang w:eastAsia="it-IT"/>
        </w:rPr>
        <w:t xml:space="preserve"> su </w:t>
      </w:r>
      <w:r w:rsidRPr="000E5CD6">
        <w:rPr>
          <w:rFonts w:ascii="Arial" w:eastAsia="Times New Roman" w:hAnsi="Arial" w:cs="Arial"/>
          <w:b/>
          <w:bCs/>
          <w:lang w:eastAsia="it-IT"/>
        </w:rPr>
        <w:t>“modello tedesco</w:t>
      </w:r>
      <w:r w:rsidRPr="000E5CD6">
        <w:rPr>
          <w:rFonts w:ascii="Arial" w:eastAsia="Times New Roman" w:hAnsi="Arial" w:cs="Arial"/>
          <w:lang w:eastAsia="it-IT"/>
        </w:rPr>
        <w:t xml:space="preserve">” consentirebbe di </w:t>
      </w:r>
      <w:r w:rsidRPr="000E5CD6">
        <w:rPr>
          <w:rFonts w:ascii="Arial" w:eastAsia="Times New Roman" w:hAnsi="Arial" w:cs="Arial"/>
          <w:b/>
          <w:bCs/>
          <w:lang w:eastAsia="it-IT"/>
        </w:rPr>
        <w:t>superare tutte e tre queste criticit</w:t>
      </w:r>
      <w:r w:rsidR="00564F3B">
        <w:rPr>
          <w:rFonts w:ascii="Arial" w:eastAsia="Times New Roman" w:hAnsi="Arial" w:cs="Arial"/>
          <w:b/>
          <w:bCs/>
          <w:lang w:eastAsia="it-IT"/>
        </w:rPr>
        <w:t>à</w:t>
      </w:r>
      <w:r w:rsidRPr="000E5CD6">
        <w:rPr>
          <w:rFonts w:ascii="Arial" w:eastAsia="Times New Roman" w:hAnsi="Arial" w:cs="Arial"/>
          <w:lang w:eastAsia="it-IT"/>
        </w:rPr>
        <w:t>, perch</w:t>
      </w:r>
      <w:r w:rsidR="00564F3B">
        <w:rPr>
          <w:rFonts w:ascii="Arial" w:eastAsia="Times New Roman" w:hAnsi="Arial" w:cs="Arial"/>
          <w:lang w:eastAsia="it-IT"/>
        </w:rPr>
        <w:t>é</w:t>
      </w:r>
      <w:r w:rsidRPr="000E5CD6">
        <w:rPr>
          <w:rFonts w:ascii="Arial" w:eastAsia="Times New Roman" w:hAnsi="Arial" w:cs="Arial"/>
          <w:lang w:eastAsia="it-IT"/>
        </w:rPr>
        <w:t xml:space="preserve"> si determinerebbe</w:t>
      </w:r>
      <w:r w:rsidR="00740E03" w:rsidRPr="006432B1">
        <w:rPr>
          <w:rFonts w:ascii="Arial" w:eastAsia="Times New Roman" w:hAnsi="Arial" w:cs="Arial"/>
          <w:lang w:eastAsia="it-IT"/>
        </w:rPr>
        <w:t xml:space="preserve"> </w:t>
      </w:r>
      <w:r w:rsidRPr="000E5CD6">
        <w:rPr>
          <w:rFonts w:ascii="Arial" w:eastAsia="Times New Roman" w:hAnsi="Arial" w:cs="Arial"/>
          <w:lang w:eastAsia="it-IT"/>
        </w:rPr>
        <w:t xml:space="preserve">una </w:t>
      </w:r>
      <w:r w:rsidRPr="000E5CD6">
        <w:rPr>
          <w:rFonts w:ascii="Arial" w:eastAsia="Times New Roman" w:hAnsi="Arial" w:cs="Arial"/>
          <w:b/>
          <w:bCs/>
          <w:lang w:eastAsia="it-IT"/>
        </w:rPr>
        <w:t>curva della progressivit</w:t>
      </w:r>
      <w:r w:rsidR="00564F3B">
        <w:rPr>
          <w:rFonts w:ascii="Arial" w:eastAsia="Times New Roman" w:hAnsi="Arial" w:cs="Arial"/>
          <w:b/>
          <w:bCs/>
          <w:lang w:eastAsia="it-IT"/>
        </w:rPr>
        <w:t xml:space="preserve">à </w:t>
      </w:r>
      <w:r w:rsidRPr="000E5CD6">
        <w:rPr>
          <w:rFonts w:ascii="Arial" w:eastAsia="Times New Roman" w:hAnsi="Arial" w:cs="Arial"/>
          <w:b/>
          <w:bCs/>
          <w:lang w:eastAsia="it-IT"/>
        </w:rPr>
        <w:t xml:space="preserve">unica per tutti i contribuenti </w:t>
      </w:r>
      <w:r w:rsidRPr="000E5CD6">
        <w:rPr>
          <w:rFonts w:ascii="Arial" w:eastAsia="Times New Roman" w:hAnsi="Arial" w:cs="Arial"/>
          <w:lang w:eastAsia="it-IT"/>
        </w:rPr>
        <w:t>anche in corrispondenza dei redditi bassi e medio-bassi</w:t>
      </w:r>
      <w:r w:rsidR="00740E03" w:rsidRPr="006432B1">
        <w:rPr>
          <w:rFonts w:ascii="Arial" w:eastAsia="Times New Roman" w:hAnsi="Arial" w:cs="Arial"/>
          <w:lang w:eastAsia="it-IT"/>
        </w:rPr>
        <w:t xml:space="preserve">, </w:t>
      </w:r>
      <w:r w:rsidRPr="000E5CD6">
        <w:rPr>
          <w:rFonts w:ascii="Arial" w:eastAsia="Times New Roman" w:hAnsi="Arial" w:cs="Arial"/>
          <w:lang w:eastAsia="it-IT"/>
        </w:rPr>
        <w:t>un r</w:t>
      </w:r>
      <w:r w:rsidRPr="000E5CD6">
        <w:rPr>
          <w:rFonts w:ascii="Arial" w:eastAsia="Times New Roman" w:hAnsi="Arial" w:cs="Arial"/>
          <w:b/>
          <w:bCs/>
          <w:lang w:eastAsia="it-IT"/>
        </w:rPr>
        <w:t>iassorbimento</w:t>
      </w:r>
      <w:r w:rsidRPr="000E5CD6">
        <w:rPr>
          <w:rFonts w:ascii="Arial" w:eastAsia="Times New Roman" w:hAnsi="Arial" w:cs="Arial"/>
          <w:lang w:eastAsia="it-IT"/>
        </w:rPr>
        <w:t xml:space="preserve"> della </w:t>
      </w:r>
      <w:r w:rsidRPr="000E5CD6">
        <w:rPr>
          <w:rFonts w:ascii="Arial" w:eastAsia="Times New Roman" w:hAnsi="Arial" w:cs="Arial"/>
          <w:b/>
          <w:bCs/>
          <w:lang w:eastAsia="it-IT"/>
        </w:rPr>
        <w:t>“gobba” da iper-progressivit</w:t>
      </w:r>
      <w:r w:rsidR="00564F3B">
        <w:rPr>
          <w:rFonts w:ascii="Arial" w:eastAsia="Times New Roman" w:hAnsi="Arial" w:cs="Arial"/>
          <w:b/>
          <w:bCs/>
          <w:lang w:eastAsia="it-IT"/>
        </w:rPr>
        <w:t>à</w:t>
      </w:r>
      <w:r w:rsidRPr="000E5CD6">
        <w:rPr>
          <w:rFonts w:ascii="Arial" w:eastAsia="Times New Roman" w:hAnsi="Arial" w:cs="Arial"/>
          <w:lang w:eastAsia="it-IT"/>
        </w:rPr>
        <w:t xml:space="preserve"> che affligge attualmente i redditi medi e medio-alti</w:t>
      </w:r>
      <w:r w:rsidR="00740E03" w:rsidRPr="006432B1">
        <w:rPr>
          <w:rFonts w:ascii="Arial" w:eastAsia="Times New Roman" w:hAnsi="Arial" w:cs="Arial"/>
          <w:lang w:eastAsia="it-IT"/>
        </w:rPr>
        <w:t xml:space="preserve"> e</w:t>
      </w:r>
      <w:r w:rsidRPr="000E5CD6">
        <w:rPr>
          <w:rFonts w:ascii="Arial" w:eastAsia="Times New Roman" w:hAnsi="Arial" w:cs="Arial"/>
          <w:lang w:eastAsia="it-IT"/>
        </w:rPr>
        <w:t xml:space="preserve"> il </w:t>
      </w:r>
      <w:r w:rsidRPr="000E5CD6">
        <w:rPr>
          <w:rFonts w:ascii="Arial" w:eastAsia="Times New Roman" w:hAnsi="Arial" w:cs="Arial"/>
          <w:b/>
          <w:bCs/>
          <w:lang w:eastAsia="it-IT"/>
        </w:rPr>
        <w:t>riequi</w:t>
      </w:r>
      <w:r w:rsidR="00564F3B">
        <w:rPr>
          <w:rFonts w:ascii="Arial" w:eastAsia="Times New Roman" w:hAnsi="Arial" w:cs="Arial"/>
          <w:b/>
          <w:bCs/>
          <w:lang w:eastAsia="it-IT"/>
        </w:rPr>
        <w:t>li</w:t>
      </w:r>
      <w:r w:rsidRPr="000E5CD6">
        <w:rPr>
          <w:rFonts w:ascii="Arial" w:eastAsia="Times New Roman" w:hAnsi="Arial" w:cs="Arial"/>
          <w:b/>
          <w:bCs/>
          <w:lang w:eastAsia="it-IT"/>
        </w:rPr>
        <w:t>brio dell’appiattimento” da ipo-progressivit</w:t>
      </w:r>
      <w:r w:rsidR="00564F3B">
        <w:rPr>
          <w:rFonts w:ascii="Arial" w:eastAsia="Times New Roman" w:hAnsi="Arial" w:cs="Arial"/>
          <w:b/>
          <w:bCs/>
          <w:lang w:eastAsia="it-IT"/>
        </w:rPr>
        <w:t>à</w:t>
      </w:r>
      <w:r w:rsidRPr="000E5CD6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E5CD6">
        <w:rPr>
          <w:rFonts w:ascii="Arial" w:eastAsia="Times New Roman" w:hAnsi="Arial" w:cs="Arial"/>
          <w:lang w:eastAsia="it-IT"/>
        </w:rPr>
        <w:t>che contraddistingue attualmente i redditi molto elevati</w:t>
      </w:r>
      <w:r w:rsidR="00740E03" w:rsidRPr="006432B1">
        <w:rPr>
          <w:rFonts w:ascii="Arial" w:eastAsia="Times New Roman" w:hAnsi="Arial" w:cs="Arial"/>
          <w:lang w:eastAsia="it-IT"/>
        </w:rPr>
        <w:t>”</w:t>
      </w:r>
      <w:r w:rsidRPr="000E5CD6">
        <w:rPr>
          <w:rFonts w:ascii="Arial" w:eastAsia="Times New Roman" w:hAnsi="Arial" w:cs="Arial"/>
          <w:lang w:eastAsia="it-IT"/>
        </w:rPr>
        <w:t>.</w:t>
      </w:r>
    </w:p>
    <w:p w14:paraId="7A397EA0" w14:textId="77777777" w:rsidR="00A808F3" w:rsidRDefault="00A808F3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241662B" w14:textId="34108E8D" w:rsidR="000E5CD6" w:rsidRPr="006432B1" w:rsidRDefault="00740E03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432B1">
        <w:rPr>
          <w:rFonts w:ascii="Arial" w:eastAsia="Times New Roman" w:hAnsi="Arial" w:cs="Arial"/>
          <w:lang w:eastAsia="it-IT"/>
        </w:rPr>
        <w:t>L’</w:t>
      </w:r>
      <w:r w:rsidR="000E5CD6" w:rsidRPr="000E5CD6">
        <w:rPr>
          <w:rFonts w:ascii="Arial" w:eastAsia="Times New Roman" w:hAnsi="Arial" w:cs="Arial"/>
          <w:lang w:eastAsia="it-IT"/>
        </w:rPr>
        <w:t>ipotesi di lavoro</w:t>
      </w:r>
      <w:r w:rsidRPr="006432B1">
        <w:rPr>
          <w:rFonts w:ascii="Arial" w:eastAsia="Times New Roman" w:hAnsi="Arial" w:cs="Arial"/>
          <w:lang w:eastAsia="it-IT"/>
        </w:rPr>
        <w:t xml:space="preserve"> proposta dai commercialisti “</w:t>
      </w:r>
      <w:r w:rsidR="000E5CD6" w:rsidRPr="000E5CD6">
        <w:rPr>
          <w:rFonts w:ascii="Arial" w:eastAsia="Times New Roman" w:hAnsi="Arial" w:cs="Arial"/>
          <w:lang w:eastAsia="it-IT"/>
        </w:rPr>
        <w:t xml:space="preserve">è quella di </w:t>
      </w:r>
      <w:r w:rsidR="000E5CD6" w:rsidRPr="000E5CD6">
        <w:rPr>
          <w:rFonts w:ascii="Arial" w:eastAsia="Times New Roman" w:hAnsi="Arial" w:cs="Arial"/>
          <w:b/>
          <w:bCs/>
          <w:lang w:eastAsia="it-IT"/>
        </w:rPr>
        <w:t>sostituire</w:t>
      </w:r>
      <w:r w:rsidR="000E5CD6" w:rsidRPr="000E5CD6">
        <w:rPr>
          <w:rFonts w:ascii="Arial" w:eastAsia="Times New Roman" w:hAnsi="Arial" w:cs="Arial"/>
          <w:lang w:eastAsia="it-IT"/>
        </w:rPr>
        <w:t xml:space="preserve"> le attuali curve della progressivit</w:t>
      </w:r>
      <w:r w:rsidR="00564F3B">
        <w:rPr>
          <w:rFonts w:ascii="Arial" w:eastAsia="Times New Roman" w:hAnsi="Arial" w:cs="Arial"/>
          <w:lang w:eastAsia="it-IT"/>
        </w:rPr>
        <w:t xml:space="preserve">à </w:t>
      </w:r>
      <w:r w:rsidR="000E5CD6" w:rsidRPr="000E5CD6">
        <w:rPr>
          <w:rFonts w:ascii="Arial" w:eastAsia="Times New Roman" w:hAnsi="Arial" w:cs="Arial"/>
          <w:lang w:eastAsia="it-IT"/>
        </w:rPr>
        <w:t>italiana con una curva della progressivit</w:t>
      </w:r>
      <w:r w:rsidR="00564F3B">
        <w:rPr>
          <w:rFonts w:ascii="Arial" w:eastAsia="Times New Roman" w:hAnsi="Arial" w:cs="Arial"/>
          <w:lang w:eastAsia="it-IT"/>
        </w:rPr>
        <w:t xml:space="preserve">à </w:t>
      </w:r>
      <w:r w:rsidR="000E5CD6" w:rsidRPr="000E5CD6">
        <w:rPr>
          <w:rFonts w:ascii="Arial" w:eastAsia="Times New Roman" w:hAnsi="Arial" w:cs="Arial"/>
          <w:lang w:eastAsia="it-IT"/>
        </w:rPr>
        <w:t xml:space="preserve">su “modello tedesco”, prevedendo </w:t>
      </w:r>
      <w:r w:rsidR="000E5CD6" w:rsidRPr="000E5CD6">
        <w:rPr>
          <w:rFonts w:ascii="Arial" w:eastAsia="Times New Roman" w:hAnsi="Arial" w:cs="Arial"/>
          <w:b/>
          <w:bCs/>
          <w:lang w:eastAsia="it-IT"/>
        </w:rPr>
        <w:t>un’aliquota “zero” fino a 8.170 euro</w:t>
      </w:r>
      <w:r w:rsidR="000E5CD6" w:rsidRPr="000E5CD6">
        <w:rPr>
          <w:rFonts w:ascii="Arial" w:eastAsia="Times New Roman" w:hAnsi="Arial" w:cs="Arial"/>
          <w:lang w:eastAsia="it-IT"/>
        </w:rPr>
        <w:t xml:space="preserve"> (in Germania è “zero” fino a 9.408 euro), la quale si sviluppi poi in modo perfettamente parallelo all’attuale curva della progressivit</w:t>
      </w:r>
      <w:r w:rsidR="00564F3B">
        <w:rPr>
          <w:rFonts w:ascii="Arial" w:eastAsia="Times New Roman" w:hAnsi="Arial" w:cs="Arial"/>
          <w:lang w:eastAsia="it-IT"/>
        </w:rPr>
        <w:t>à</w:t>
      </w:r>
      <w:r w:rsidR="000E5CD6" w:rsidRPr="000E5CD6">
        <w:rPr>
          <w:rFonts w:ascii="Arial" w:eastAsia="Times New Roman" w:hAnsi="Arial" w:cs="Arial"/>
          <w:lang w:eastAsia="it-IT"/>
        </w:rPr>
        <w:t xml:space="preserve"> tedesca, mantenendo 2 punti percentuali di aliquota effettiva in pi</w:t>
      </w:r>
      <w:r w:rsidR="00564F3B">
        <w:rPr>
          <w:rFonts w:ascii="Arial" w:eastAsia="Times New Roman" w:hAnsi="Arial" w:cs="Arial"/>
          <w:lang w:eastAsia="it-IT"/>
        </w:rPr>
        <w:t>ù</w:t>
      </w:r>
      <w:r w:rsidR="000E5CD6" w:rsidRPr="000E5CD6">
        <w:rPr>
          <w:rFonts w:ascii="Arial" w:eastAsia="Times New Roman" w:hAnsi="Arial" w:cs="Arial"/>
          <w:lang w:eastAsia="it-IT"/>
        </w:rPr>
        <w:t xml:space="preserve"> in corrispondenza di ciascun livello di reddito imponibile.</w:t>
      </w:r>
      <w:r w:rsidR="000E5CD6" w:rsidRPr="000E5CD6">
        <w:rPr>
          <w:rFonts w:ascii="Arial" w:eastAsia="Times New Roman" w:hAnsi="Arial" w:cs="Arial"/>
          <w:lang w:eastAsia="it-IT"/>
        </w:rPr>
        <w:br/>
      </w:r>
      <w:r w:rsidR="000E5CD6" w:rsidRPr="000E5CD6">
        <w:rPr>
          <w:rFonts w:ascii="Arial" w:eastAsia="Times New Roman" w:hAnsi="Arial" w:cs="Arial"/>
          <w:lang w:eastAsia="it-IT"/>
        </w:rPr>
        <w:lastRenderedPageBreak/>
        <w:t xml:space="preserve">Questa ipotesi di lavoro presenta un costo, in termini di minore gettito, che stimiamo intorno </w:t>
      </w:r>
      <w:r w:rsidR="00564F3B">
        <w:rPr>
          <w:rFonts w:ascii="Arial" w:eastAsia="Times New Roman" w:hAnsi="Arial" w:cs="Arial"/>
          <w:lang w:eastAsia="it-IT"/>
        </w:rPr>
        <w:t>a</w:t>
      </w:r>
      <w:r w:rsidR="000E5CD6" w:rsidRPr="000E5CD6">
        <w:rPr>
          <w:rFonts w:ascii="Arial" w:eastAsia="Times New Roman" w:hAnsi="Arial" w:cs="Arial"/>
          <w:lang w:eastAsia="it-IT"/>
        </w:rPr>
        <w:t xml:space="preserve"> </w:t>
      </w:r>
      <w:r w:rsidR="000E5CD6" w:rsidRPr="000E5CD6">
        <w:rPr>
          <w:rFonts w:ascii="Arial" w:eastAsia="Times New Roman" w:hAnsi="Arial" w:cs="Arial"/>
          <w:b/>
          <w:bCs/>
          <w:lang w:eastAsia="it-IT"/>
        </w:rPr>
        <w:t>8-10 miliardi</w:t>
      </w:r>
      <w:r w:rsidR="000E5CD6" w:rsidRPr="000E5CD6">
        <w:rPr>
          <w:rFonts w:ascii="Arial" w:eastAsia="Times New Roman" w:hAnsi="Arial" w:cs="Arial"/>
          <w:lang w:eastAsia="it-IT"/>
        </w:rPr>
        <w:t>, grazie anche al riassorbimento delle risorse attualmente impiegate per il bonus 100 euro a favore dei dipendenti e della c.d. “flat tax delle partite IVA individuali”.</w:t>
      </w:r>
    </w:p>
    <w:p w14:paraId="60668155" w14:textId="77777777" w:rsidR="00A808F3" w:rsidRDefault="00A808F3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3B1ADCD" w14:textId="0ABBC44D" w:rsidR="000E5CD6" w:rsidRPr="006432B1" w:rsidRDefault="00A565FC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432B1">
        <w:rPr>
          <w:rFonts w:ascii="Arial" w:eastAsia="Times New Roman" w:hAnsi="Arial" w:cs="Arial"/>
          <w:lang w:eastAsia="it-IT"/>
        </w:rPr>
        <w:t>“</w:t>
      </w:r>
      <w:r w:rsidR="000E5CD6" w:rsidRPr="000E5CD6">
        <w:rPr>
          <w:rFonts w:ascii="Arial" w:eastAsia="Times New Roman" w:hAnsi="Arial" w:cs="Arial"/>
          <w:lang w:eastAsia="it-IT"/>
        </w:rPr>
        <w:t>Laddove la scelta politica sia quella di permanere nell’attuale schema della progressivit</w:t>
      </w:r>
      <w:r w:rsidR="00B3052C">
        <w:rPr>
          <w:rFonts w:ascii="Arial" w:eastAsia="Times New Roman" w:hAnsi="Arial" w:cs="Arial"/>
          <w:lang w:eastAsia="it-IT"/>
        </w:rPr>
        <w:t>à</w:t>
      </w:r>
      <w:r w:rsidR="000E5CD6" w:rsidRPr="000E5CD6">
        <w:rPr>
          <w:rFonts w:ascii="Arial" w:eastAsia="Times New Roman" w:hAnsi="Arial" w:cs="Arial"/>
          <w:lang w:eastAsia="it-IT"/>
        </w:rPr>
        <w:t xml:space="preserve"> italiana</w:t>
      </w:r>
      <w:r w:rsidRPr="006432B1">
        <w:rPr>
          <w:rFonts w:ascii="Arial" w:eastAsia="Times New Roman" w:hAnsi="Arial" w:cs="Arial"/>
          <w:lang w:eastAsia="it-IT"/>
        </w:rPr>
        <w:t xml:space="preserve"> – hanno aggiunto Gelosa e Postal </w:t>
      </w:r>
      <w:r w:rsidR="00B3052C">
        <w:rPr>
          <w:rFonts w:ascii="Arial" w:eastAsia="Times New Roman" w:hAnsi="Arial" w:cs="Arial"/>
          <w:lang w:eastAsia="it-IT"/>
        </w:rPr>
        <w:t>–</w:t>
      </w:r>
      <w:r w:rsidRPr="006432B1">
        <w:rPr>
          <w:rFonts w:ascii="Arial" w:eastAsia="Times New Roman" w:hAnsi="Arial" w:cs="Arial"/>
          <w:lang w:eastAsia="it-IT"/>
        </w:rPr>
        <w:t xml:space="preserve"> </w:t>
      </w:r>
      <w:r w:rsidR="000E5CD6" w:rsidRPr="000E5CD6">
        <w:rPr>
          <w:rFonts w:ascii="Arial" w:eastAsia="Times New Roman" w:hAnsi="Arial" w:cs="Arial"/>
          <w:lang w:eastAsia="it-IT"/>
        </w:rPr>
        <w:t xml:space="preserve">riteniamo prioritario agire sul </w:t>
      </w:r>
      <w:r w:rsidR="000E5CD6" w:rsidRPr="000E5CD6">
        <w:rPr>
          <w:rFonts w:ascii="Arial" w:eastAsia="Times New Roman" w:hAnsi="Arial" w:cs="Arial"/>
          <w:b/>
          <w:bCs/>
          <w:lang w:eastAsia="it-IT"/>
        </w:rPr>
        <w:t>terzo scaglione di reddito imponibile</w:t>
      </w:r>
      <w:r w:rsidR="000E5CD6" w:rsidRPr="000E5CD6">
        <w:rPr>
          <w:rFonts w:ascii="Arial" w:eastAsia="Times New Roman" w:hAnsi="Arial" w:cs="Arial"/>
          <w:lang w:eastAsia="it-IT"/>
        </w:rPr>
        <w:t>, ossia quello che va da 28.000 a 55.000 euro di reddito, su cui si applica attualmente l’aliquota del 38</w:t>
      </w:r>
      <w:r w:rsidRPr="006432B1">
        <w:rPr>
          <w:rFonts w:ascii="Arial" w:eastAsia="Times New Roman" w:hAnsi="Arial" w:cs="Arial"/>
          <w:lang w:eastAsia="it-IT"/>
        </w:rPr>
        <w:t xml:space="preserve">%, suddividendolo </w:t>
      </w:r>
      <w:r w:rsidR="000E5CD6" w:rsidRPr="000E5CD6">
        <w:rPr>
          <w:rFonts w:ascii="Arial" w:eastAsia="Times New Roman" w:hAnsi="Arial" w:cs="Arial"/>
          <w:lang w:eastAsia="it-IT"/>
        </w:rPr>
        <w:t xml:space="preserve">in </w:t>
      </w:r>
      <w:r w:rsidR="000E5CD6" w:rsidRPr="000E5CD6">
        <w:rPr>
          <w:rFonts w:ascii="Arial" w:eastAsia="Times New Roman" w:hAnsi="Arial" w:cs="Arial"/>
          <w:b/>
          <w:bCs/>
          <w:lang w:eastAsia="it-IT"/>
        </w:rPr>
        <w:t>due distinti scaglioni</w:t>
      </w:r>
      <w:r w:rsidR="000E5CD6" w:rsidRPr="000E5CD6">
        <w:rPr>
          <w:rFonts w:ascii="Arial" w:eastAsia="Times New Roman" w:hAnsi="Arial" w:cs="Arial"/>
          <w:lang w:eastAsia="it-IT"/>
        </w:rPr>
        <w:t>: il primo, da 28.000 euro a 40.000 euro, con applicazione dell’aliquota marginale del 32%</w:t>
      </w:r>
      <w:r w:rsidRPr="006432B1">
        <w:rPr>
          <w:rFonts w:ascii="Arial" w:eastAsia="Times New Roman" w:hAnsi="Arial" w:cs="Arial"/>
          <w:lang w:eastAsia="it-IT"/>
        </w:rPr>
        <w:t xml:space="preserve">, </w:t>
      </w:r>
      <w:r w:rsidR="000E5CD6" w:rsidRPr="000E5CD6">
        <w:rPr>
          <w:rFonts w:ascii="Arial" w:eastAsia="Times New Roman" w:hAnsi="Arial" w:cs="Arial"/>
          <w:lang w:eastAsia="it-IT"/>
        </w:rPr>
        <w:t>il secondo, da 40.000 euro a 55.000 euro, con applicazione dell’aliquota marginale del 38%</w:t>
      </w:r>
      <w:r w:rsidR="00C92A42">
        <w:rPr>
          <w:rFonts w:ascii="Arial" w:eastAsia="Times New Roman" w:hAnsi="Arial" w:cs="Arial"/>
          <w:lang w:eastAsia="it-IT"/>
        </w:rPr>
        <w:t>”</w:t>
      </w:r>
      <w:r w:rsidR="000E5CD6" w:rsidRPr="000E5CD6">
        <w:rPr>
          <w:rFonts w:ascii="Arial" w:eastAsia="Times New Roman" w:hAnsi="Arial" w:cs="Arial"/>
          <w:lang w:eastAsia="it-IT"/>
        </w:rPr>
        <w:t xml:space="preserve">. </w:t>
      </w:r>
    </w:p>
    <w:p w14:paraId="5E2237FC" w14:textId="77777777" w:rsidR="00A808F3" w:rsidRDefault="00A808F3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2442152" w14:textId="577C7F08" w:rsidR="0068400F" w:rsidRPr="00FE7D0A" w:rsidRDefault="0068400F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432B1">
        <w:rPr>
          <w:rFonts w:ascii="Arial" w:eastAsia="Times New Roman" w:hAnsi="Arial" w:cs="Arial"/>
          <w:lang w:eastAsia="it-IT"/>
        </w:rPr>
        <w:t>I commercialisti hanno</w:t>
      </w:r>
      <w:r w:rsidR="00C92A42">
        <w:rPr>
          <w:rFonts w:ascii="Arial" w:eastAsia="Times New Roman" w:hAnsi="Arial" w:cs="Arial"/>
          <w:lang w:eastAsia="it-IT"/>
        </w:rPr>
        <w:t xml:space="preserve"> poi</w:t>
      </w:r>
      <w:r w:rsidRPr="006432B1">
        <w:rPr>
          <w:rFonts w:ascii="Arial" w:eastAsia="Times New Roman" w:hAnsi="Arial" w:cs="Arial"/>
          <w:lang w:eastAsia="it-IT"/>
        </w:rPr>
        <w:t xml:space="preserve"> definito “prioritario il tema dell’</w:t>
      </w:r>
      <w:r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equiparazione</w:t>
      </w:r>
      <w:r w:rsidRPr="006432B1">
        <w:rPr>
          <w:rFonts w:ascii="Arial" w:hAnsi="Arial" w:cs="Arial"/>
          <w:b/>
          <w:bCs/>
          <w:color w:val="000000" w:themeColor="text1"/>
        </w:rPr>
        <w:t> della pressione fiscale tra </w:t>
      </w:r>
      <w:r w:rsidRPr="006432B1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lavoratori autonomi e lavoratori dipendenti”. </w:t>
      </w:r>
      <w:r w:rsidRPr="006432B1">
        <w:rPr>
          <w:rFonts w:ascii="Arial" w:eastAsia="Times New Roman" w:hAnsi="Arial" w:cs="Arial"/>
          <w:lang w:eastAsia="it-IT"/>
        </w:rPr>
        <w:t xml:space="preserve"> </w:t>
      </w:r>
      <w:r w:rsidR="006432B1" w:rsidRPr="006432B1">
        <w:rPr>
          <w:rFonts w:ascii="Arial" w:eastAsia="Times New Roman" w:hAnsi="Arial" w:cs="Arial"/>
          <w:lang w:eastAsia="it-IT"/>
        </w:rPr>
        <w:t>“</w:t>
      </w:r>
      <w:r w:rsidRPr="0068400F">
        <w:rPr>
          <w:rFonts w:ascii="Arial" w:eastAsia="Times New Roman" w:hAnsi="Arial" w:cs="Arial"/>
          <w:lang w:eastAsia="it-IT"/>
        </w:rPr>
        <w:t>Un tema sempre pi</w:t>
      </w:r>
      <w:r w:rsidR="00B3052C">
        <w:rPr>
          <w:rFonts w:ascii="Arial" w:eastAsia="Times New Roman" w:hAnsi="Arial" w:cs="Arial"/>
          <w:lang w:eastAsia="it-IT"/>
        </w:rPr>
        <w:t>ù</w:t>
      </w:r>
      <w:r w:rsidRPr="0068400F">
        <w:rPr>
          <w:rFonts w:ascii="Arial" w:eastAsia="Times New Roman" w:hAnsi="Arial" w:cs="Arial"/>
          <w:lang w:eastAsia="it-IT"/>
        </w:rPr>
        <w:t xml:space="preserve"> delicato</w:t>
      </w:r>
      <w:r w:rsidR="006432B1" w:rsidRPr="006432B1">
        <w:rPr>
          <w:rFonts w:ascii="Arial" w:eastAsia="Times New Roman" w:hAnsi="Arial" w:cs="Arial"/>
          <w:lang w:eastAsia="it-IT"/>
        </w:rPr>
        <w:t xml:space="preserve"> – hanno affermato </w:t>
      </w:r>
      <w:r w:rsidR="00B3052C">
        <w:rPr>
          <w:rFonts w:ascii="Arial" w:eastAsia="Times New Roman" w:hAnsi="Arial" w:cs="Arial"/>
          <w:lang w:eastAsia="it-IT"/>
        </w:rPr>
        <w:t>–</w:t>
      </w:r>
      <w:r w:rsidRPr="006432B1">
        <w:rPr>
          <w:rFonts w:ascii="Arial" w:eastAsia="Times New Roman" w:hAnsi="Arial" w:cs="Arial"/>
          <w:lang w:eastAsia="it-IT"/>
        </w:rPr>
        <w:t xml:space="preserve"> è</w:t>
      </w:r>
      <w:r w:rsidRPr="0068400F">
        <w:rPr>
          <w:rFonts w:ascii="Arial" w:eastAsia="Times New Roman" w:hAnsi="Arial" w:cs="Arial"/>
          <w:lang w:eastAsia="it-IT"/>
        </w:rPr>
        <w:t xml:space="preserve"> quello dell’equit</w:t>
      </w:r>
      <w:r w:rsidR="00B3052C">
        <w:rPr>
          <w:rFonts w:ascii="Arial" w:eastAsia="Times New Roman" w:hAnsi="Arial" w:cs="Arial"/>
          <w:lang w:eastAsia="it-IT"/>
        </w:rPr>
        <w:t>à</w:t>
      </w:r>
      <w:r w:rsidRPr="0068400F">
        <w:rPr>
          <w:rFonts w:ascii="Arial" w:eastAsia="Times New Roman" w:hAnsi="Arial" w:cs="Arial"/>
          <w:lang w:eastAsia="it-IT"/>
        </w:rPr>
        <w:t xml:space="preserve"> orizzontale della progressivit</w:t>
      </w:r>
      <w:r w:rsidR="00B3052C">
        <w:rPr>
          <w:rFonts w:ascii="Arial" w:eastAsia="Times New Roman" w:hAnsi="Arial" w:cs="Arial"/>
          <w:lang w:eastAsia="it-IT"/>
        </w:rPr>
        <w:t>à</w:t>
      </w:r>
      <w:r w:rsidR="00C92A42">
        <w:rPr>
          <w:rFonts w:ascii="Arial" w:eastAsia="Times New Roman" w:hAnsi="Arial" w:cs="Arial"/>
          <w:lang w:eastAsia="it-IT"/>
        </w:rPr>
        <w:t xml:space="preserve">, </w:t>
      </w:r>
      <w:r w:rsidRPr="0068400F">
        <w:rPr>
          <w:rFonts w:ascii="Arial" w:eastAsia="Times New Roman" w:hAnsi="Arial" w:cs="Arial"/>
          <w:lang w:eastAsia="it-IT"/>
        </w:rPr>
        <w:t>ossia quella tra redditi di tipo diverso, ma di ammontare uguale</w:t>
      </w:r>
      <w:r w:rsidR="006432B1" w:rsidRPr="006432B1">
        <w:rPr>
          <w:rFonts w:ascii="Arial" w:eastAsia="Times New Roman" w:hAnsi="Arial" w:cs="Arial"/>
          <w:lang w:eastAsia="it-IT"/>
        </w:rPr>
        <w:t xml:space="preserve">. </w:t>
      </w:r>
      <w:r w:rsidRPr="0068400F">
        <w:rPr>
          <w:rFonts w:ascii="Arial" w:eastAsia="Times New Roman" w:hAnsi="Arial" w:cs="Arial"/>
          <w:lang w:eastAsia="it-IT"/>
        </w:rPr>
        <w:t>La curva della progressivit</w:t>
      </w:r>
      <w:r w:rsidR="00B3052C">
        <w:rPr>
          <w:rFonts w:ascii="Arial" w:eastAsia="Times New Roman" w:hAnsi="Arial" w:cs="Arial"/>
          <w:lang w:eastAsia="it-IT"/>
        </w:rPr>
        <w:t>à</w:t>
      </w:r>
      <w:r w:rsidRPr="0068400F">
        <w:rPr>
          <w:rFonts w:ascii="Arial" w:eastAsia="Times New Roman" w:hAnsi="Arial" w:cs="Arial"/>
          <w:lang w:eastAsia="it-IT"/>
        </w:rPr>
        <w:t xml:space="preserve">, data da aliquote marginali, scaglioni e detrazioni decrescenti per redditi da lavoro, </w:t>
      </w:r>
      <w:r w:rsidRPr="0068400F">
        <w:rPr>
          <w:rFonts w:ascii="Arial" w:eastAsia="Times New Roman" w:hAnsi="Arial" w:cs="Arial"/>
          <w:b/>
          <w:bCs/>
          <w:lang w:eastAsia="it-IT"/>
        </w:rPr>
        <w:t>deve essere unica</w:t>
      </w:r>
      <w:r w:rsidRPr="0068400F">
        <w:rPr>
          <w:rFonts w:ascii="Arial" w:eastAsia="Times New Roman" w:hAnsi="Arial" w:cs="Arial"/>
          <w:lang w:eastAsia="it-IT"/>
        </w:rPr>
        <w:t xml:space="preserve"> per tutti i contribuenti titolari di redditi da lavoro.</w:t>
      </w:r>
      <w:r w:rsidR="006432B1" w:rsidRPr="006432B1">
        <w:rPr>
          <w:rFonts w:ascii="Arial" w:eastAsia="Times New Roman" w:hAnsi="Arial" w:cs="Arial"/>
          <w:lang w:eastAsia="it-IT"/>
        </w:rPr>
        <w:t xml:space="preserve"> </w:t>
      </w:r>
      <w:r w:rsidRPr="0068400F">
        <w:rPr>
          <w:rFonts w:ascii="Arial" w:eastAsia="Times New Roman" w:hAnsi="Arial" w:cs="Arial"/>
          <w:lang w:eastAsia="it-IT"/>
        </w:rPr>
        <w:t>A monte o a valle dell’unica curva della progressivit</w:t>
      </w:r>
      <w:r w:rsidR="00B3052C">
        <w:rPr>
          <w:rFonts w:ascii="Arial" w:eastAsia="Times New Roman" w:hAnsi="Arial" w:cs="Arial"/>
          <w:lang w:eastAsia="it-IT"/>
        </w:rPr>
        <w:t>à</w:t>
      </w:r>
      <w:r w:rsidRPr="0068400F">
        <w:rPr>
          <w:rFonts w:ascii="Arial" w:eastAsia="Times New Roman" w:hAnsi="Arial" w:cs="Arial"/>
          <w:lang w:eastAsia="it-IT"/>
        </w:rPr>
        <w:t xml:space="preserve">, è corretto prevedere un </w:t>
      </w:r>
      <w:r w:rsidRPr="0068400F">
        <w:rPr>
          <w:rFonts w:ascii="Arial" w:eastAsia="Times New Roman" w:hAnsi="Arial" w:cs="Arial"/>
          <w:b/>
          <w:bCs/>
          <w:lang w:eastAsia="it-IT"/>
        </w:rPr>
        <w:t>meccanismo forfetario</w:t>
      </w:r>
      <w:r w:rsidRPr="0068400F">
        <w:rPr>
          <w:rFonts w:ascii="Arial" w:eastAsia="Times New Roman" w:hAnsi="Arial" w:cs="Arial"/>
          <w:lang w:eastAsia="it-IT"/>
        </w:rPr>
        <w:t xml:space="preserve"> che consenta di tenere conto delle spese per la produzione del reddito che i lavoratori dipendenti sostengono (a differenza dei pensionati) senza possibilit</w:t>
      </w:r>
      <w:r w:rsidR="00B3052C">
        <w:rPr>
          <w:rFonts w:ascii="Arial" w:eastAsia="Times New Roman" w:hAnsi="Arial" w:cs="Arial"/>
          <w:lang w:eastAsia="it-IT"/>
        </w:rPr>
        <w:t>à</w:t>
      </w:r>
      <w:r w:rsidRPr="0068400F">
        <w:rPr>
          <w:rFonts w:ascii="Arial" w:eastAsia="Times New Roman" w:hAnsi="Arial" w:cs="Arial"/>
          <w:lang w:eastAsia="it-IT"/>
        </w:rPr>
        <w:t xml:space="preserve"> di deduzione analitica dal reddito (a differenza dei lavoratori autonomi). </w:t>
      </w:r>
      <w:r w:rsidR="006432B1" w:rsidRPr="006432B1">
        <w:rPr>
          <w:rFonts w:ascii="Arial" w:eastAsia="Times New Roman" w:hAnsi="Arial" w:cs="Arial"/>
          <w:lang w:eastAsia="it-IT"/>
        </w:rPr>
        <w:t xml:space="preserve"> </w:t>
      </w:r>
      <w:r w:rsidRPr="0068400F">
        <w:rPr>
          <w:rFonts w:ascii="Arial" w:eastAsia="Times New Roman" w:hAnsi="Arial" w:cs="Arial"/>
          <w:lang w:eastAsia="it-IT"/>
        </w:rPr>
        <w:t>L’equit</w:t>
      </w:r>
      <w:r w:rsidR="00B3052C">
        <w:rPr>
          <w:rFonts w:ascii="Arial" w:eastAsia="Times New Roman" w:hAnsi="Arial" w:cs="Arial"/>
          <w:lang w:eastAsia="it-IT"/>
        </w:rPr>
        <w:t>à</w:t>
      </w:r>
      <w:r w:rsidRPr="0068400F">
        <w:rPr>
          <w:rFonts w:ascii="Arial" w:eastAsia="Times New Roman" w:hAnsi="Arial" w:cs="Arial"/>
          <w:lang w:eastAsia="it-IT"/>
        </w:rPr>
        <w:t xml:space="preserve"> orizzontale all’interno del perimetro “redditi da lavoro” impone anche di allineare i lavoratori autonomi ai lavoratori dipendenti sul versante della </w:t>
      </w:r>
      <w:r w:rsidRPr="0068400F">
        <w:rPr>
          <w:rFonts w:ascii="Arial" w:eastAsia="Times New Roman" w:hAnsi="Arial" w:cs="Arial"/>
          <w:b/>
          <w:bCs/>
          <w:lang w:eastAsia="it-IT"/>
        </w:rPr>
        <w:t>concorrenza dei redditi da lavoro alla formazione del reddito complessivo</w:t>
      </w:r>
      <w:r w:rsidR="006432B1" w:rsidRPr="006432B1">
        <w:rPr>
          <w:rFonts w:ascii="Arial" w:eastAsia="Times New Roman" w:hAnsi="Arial" w:cs="Arial"/>
          <w:lang w:eastAsia="it-IT"/>
        </w:rPr>
        <w:t>”</w:t>
      </w:r>
      <w:r w:rsidRPr="0068400F">
        <w:rPr>
          <w:rFonts w:ascii="Arial" w:eastAsia="Times New Roman" w:hAnsi="Arial" w:cs="Arial"/>
          <w:lang w:eastAsia="it-IT"/>
        </w:rPr>
        <w:t xml:space="preserve">. </w:t>
      </w:r>
      <w:r w:rsidR="006432B1" w:rsidRPr="006432B1">
        <w:rPr>
          <w:rFonts w:ascii="Arial" w:eastAsia="Times New Roman" w:hAnsi="Arial" w:cs="Arial"/>
          <w:lang w:eastAsia="it-IT"/>
        </w:rPr>
        <w:t>Secondo gli esponenti dei commercialisti</w:t>
      </w:r>
      <w:r w:rsidR="00B3052C">
        <w:rPr>
          <w:rFonts w:ascii="Arial" w:eastAsia="Times New Roman" w:hAnsi="Arial" w:cs="Arial"/>
          <w:lang w:eastAsia="it-IT"/>
        </w:rPr>
        <w:t>,</w:t>
      </w:r>
      <w:r w:rsidR="006432B1" w:rsidRPr="006432B1">
        <w:rPr>
          <w:rFonts w:ascii="Arial" w:eastAsia="Times New Roman" w:hAnsi="Arial" w:cs="Arial"/>
          <w:lang w:eastAsia="it-IT"/>
        </w:rPr>
        <w:t xml:space="preserve"> “d</w:t>
      </w:r>
      <w:r w:rsidRPr="0068400F">
        <w:rPr>
          <w:rFonts w:ascii="Arial" w:eastAsia="Times New Roman" w:hAnsi="Arial" w:cs="Arial"/>
          <w:lang w:eastAsia="it-IT"/>
        </w:rPr>
        <w:t xml:space="preserve">eve essere previsto anche per i lavoratori autonomi, così come per i lavoratori dipendenti, che alla formazione del reddito complessivo concorre il </w:t>
      </w:r>
      <w:r w:rsidRPr="0068400F">
        <w:rPr>
          <w:rFonts w:ascii="Arial" w:eastAsia="Times New Roman" w:hAnsi="Arial" w:cs="Arial"/>
          <w:b/>
          <w:bCs/>
          <w:lang w:eastAsia="it-IT"/>
        </w:rPr>
        <w:t>reddito imponibile da lavoro</w:t>
      </w:r>
      <w:r w:rsidRPr="0068400F">
        <w:rPr>
          <w:rFonts w:ascii="Arial" w:eastAsia="Times New Roman" w:hAnsi="Arial" w:cs="Arial"/>
          <w:lang w:eastAsia="it-IT"/>
        </w:rPr>
        <w:t>, ossia il reddito lordo al netto dei contributi previdenziali obbligatori a carico del lavoratore.</w:t>
      </w:r>
      <w:r w:rsidRPr="0068400F">
        <w:rPr>
          <w:rFonts w:ascii="Arial" w:eastAsia="Times New Roman" w:hAnsi="Arial" w:cs="Arial"/>
          <w:lang w:eastAsia="it-IT"/>
        </w:rPr>
        <w:br/>
        <w:t>L’attuale differente modalit</w:t>
      </w:r>
      <w:r w:rsidR="00B3052C">
        <w:rPr>
          <w:rFonts w:ascii="Arial" w:eastAsia="Times New Roman" w:hAnsi="Arial" w:cs="Arial"/>
          <w:lang w:eastAsia="it-IT"/>
        </w:rPr>
        <w:t>à</w:t>
      </w:r>
      <w:r w:rsidRPr="0068400F">
        <w:rPr>
          <w:rFonts w:ascii="Arial" w:eastAsia="Times New Roman" w:hAnsi="Arial" w:cs="Arial"/>
          <w:lang w:eastAsia="it-IT"/>
        </w:rPr>
        <w:t xml:space="preserve"> di computo dei redditi da lavoro nel reddito complessivo crea </w:t>
      </w:r>
      <w:r w:rsidRPr="0068400F">
        <w:rPr>
          <w:rFonts w:ascii="Arial" w:eastAsia="Times New Roman" w:hAnsi="Arial" w:cs="Arial"/>
          <w:b/>
          <w:bCs/>
          <w:lang w:eastAsia="it-IT"/>
        </w:rPr>
        <w:t>ingiustificate disparità di trattamento</w:t>
      </w:r>
      <w:r w:rsidRPr="0068400F">
        <w:rPr>
          <w:rFonts w:ascii="Arial" w:eastAsia="Times New Roman" w:hAnsi="Arial" w:cs="Arial"/>
          <w:lang w:eastAsia="it-IT"/>
        </w:rPr>
        <w:t>, a parit</w:t>
      </w:r>
      <w:r w:rsidR="00B3052C">
        <w:rPr>
          <w:rFonts w:ascii="Arial" w:eastAsia="Times New Roman" w:hAnsi="Arial" w:cs="Arial"/>
          <w:lang w:eastAsia="it-IT"/>
        </w:rPr>
        <w:t xml:space="preserve">à </w:t>
      </w:r>
      <w:r w:rsidRPr="0068400F">
        <w:rPr>
          <w:rFonts w:ascii="Arial" w:eastAsia="Times New Roman" w:hAnsi="Arial" w:cs="Arial"/>
          <w:lang w:eastAsia="it-IT"/>
        </w:rPr>
        <w:t>di reddito imponibile, posto che le detrazioni decrescenti sono commisurate al livello del reddito complessivo e non del reddito imponibile</w:t>
      </w:r>
      <w:r w:rsidR="006432B1" w:rsidRPr="00FE7D0A">
        <w:rPr>
          <w:rFonts w:ascii="Arial" w:eastAsia="Times New Roman" w:hAnsi="Arial" w:cs="Arial"/>
          <w:lang w:eastAsia="it-IT"/>
        </w:rPr>
        <w:t>”</w:t>
      </w:r>
      <w:r w:rsidRPr="0068400F">
        <w:rPr>
          <w:rFonts w:ascii="Arial" w:eastAsia="Times New Roman" w:hAnsi="Arial" w:cs="Arial"/>
          <w:lang w:eastAsia="it-IT"/>
        </w:rPr>
        <w:t xml:space="preserve">. </w:t>
      </w:r>
    </w:p>
    <w:p w14:paraId="38AE8CD0" w14:textId="77777777" w:rsidR="00A808F3" w:rsidRDefault="00A808F3" w:rsidP="00A808F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BFEB20F" w14:textId="1B5CD8A3" w:rsidR="00FE7D0A" w:rsidRPr="00FE7D0A" w:rsidRDefault="00FE7D0A" w:rsidP="00A808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7D0A">
        <w:rPr>
          <w:rFonts w:ascii="Arial" w:eastAsia="Times New Roman" w:hAnsi="Arial" w:cs="Arial"/>
          <w:lang w:eastAsia="it-IT"/>
        </w:rPr>
        <w:t>Sempre in un’ottica di equit</w:t>
      </w:r>
      <w:r w:rsidR="00B3052C">
        <w:rPr>
          <w:rFonts w:ascii="Arial" w:eastAsia="Times New Roman" w:hAnsi="Arial" w:cs="Arial"/>
          <w:lang w:eastAsia="it-IT"/>
        </w:rPr>
        <w:t xml:space="preserve">à </w:t>
      </w:r>
      <w:r w:rsidRPr="00FE7D0A">
        <w:rPr>
          <w:rFonts w:ascii="Arial" w:eastAsia="Times New Roman" w:hAnsi="Arial" w:cs="Arial"/>
          <w:lang w:eastAsia="it-IT"/>
        </w:rPr>
        <w:t>orizzontale, Gelosa e Postal hanno co</w:t>
      </w:r>
      <w:r>
        <w:rPr>
          <w:rFonts w:ascii="Arial" w:eastAsia="Times New Roman" w:hAnsi="Arial" w:cs="Arial"/>
          <w:lang w:eastAsia="it-IT"/>
        </w:rPr>
        <w:t>n</w:t>
      </w:r>
      <w:r w:rsidRPr="00FE7D0A">
        <w:rPr>
          <w:rFonts w:ascii="Arial" w:eastAsia="Times New Roman" w:hAnsi="Arial" w:cs="Arial"/>
          <w:lang w:eastAsia="it-IT"/>
        </w:rPr>
        <w:t xml:space="preserve">cluso affermando che “dovrebbe essere consentita la tassazione dei redditi di impresa e lavoro autonomo prodotti in </w:t>
      </w:r>
      <w:r w:rsidRPr="00FE7D0A">
        <w:rPr>
          <w:rFonts w:ascii="Arial" w:eastAsia="Times New Roman" w:hAnsi="Arial" w:cs="Arial"/>
          <w:b/>
          <w:bCs/>
          <w:lang w:eastAsia="it-IT"/>
        </w:rPr>
        <w:t xml:space="preserve">forma associata </w:t>
      </w:r>
      <w:r w:rsidRPr="00FE7D0A">
        <w:rPr>
          <w:rFonts w:ascii="Arial" w:eastAsia="Times New Roman" w:hAnsi="Arial" w:cs="Arial"/>
          <w:lang w:eastAsia="it-IT"/>
        </w:rPr>
        <w:t>secondo modalit</w:t>
      </w:r>
      <w:r w:rsidR="00B3052C">
        <w:rPr>
          <w:rFonts w:ascii="Arial" w:eastAsia="Times New Roman" w:hAnsi="Arial" w:cs="Arial"/>
          <w:lang w:eastAsia="it-IT"/>
        </w:rPr>
        <w:t xml:space="preserve">à </w:t>
      </w:r>
      <w:r w:rsidRPr="00FE7D0A">
        <w:rPr>
          <w:rFonts w:ascii="Arial" w:eastAsia="Times New Roman" w:hAnsi="Arial" w:cs="Arial"/>
          <w:lang w:eastAsia="it-IT"/>
        </w:rPr>
        <w:t xml:space="preserve">analoghe a quelli prodotti dalle </w:t>
      </w:r>
      <w:r w:rsidRPr="00FE7D0A">
        <w:rPr>
          <w:rFonts w:ascii="Arial" w:eastAsia="Times New Roman" w:hAnsi="Arial" w:cs="Arial"/>
          <w:b/>
          <w:bCs/>
          <w:lang w:eastAsia="it-IT"/>
        </w:rPr>
        <w:t>societ</w:t>
      </w:r>
      <w:r w:rsidR="003E22AC">
        <w:rPr>
          <w:rFonts w:ascii="Arial" w:eastAsia="Times New Roman" w:hAnsi="Arial" w:cs="Arial"/>
          <w:b/>
          <w:bCs/>
          <w:lang w:eastAsia="it-IT"/>
        </w:rPr>
        <w:t xml:space="preserve">à </w:t>
      </w:r>
      <w:r w:rsidRPr="00FE7D0A">
        <w:rPr>
          <w:rFonts w:ascii="Arial" w:eastAsia="Times New Roman" w:hAnsi="Arial" w:cs="Arial"/>
          <w:b/>
          <w:bCs/>
          <w:lang w:eastAsia="it-IT"/>
        </w:rPr>
        <w:t>di capitali</w:t>
      </w:r>
      <w:r w:rsidRPr="00FE7D0A">
        <w:rPr>
          <w:rFonts w:ascii="Arial" w:eastAsia="Times New Roman" w:hAnsi="Arial" w:cs="Arial"/>
          <w:lang w:eastAsia="it-IT"/>
        </w:rPr>
        <w:t xml:space="preserve">, con applicazione di una </w:t>
      </w:r>
      <w:r w:rsidRPr="00FE7D0A">
        <w:rPr>
          <w:rFonts w:ascii="Arial" w:eastAsia="Times New Roman" w:hAnsi="Arial" w:cs="Arial"/>
          <w:b/>
          <w:bCs/>
          <w:lang w:eastAsia="it-IT"/>
        </w:rPr>
        <w:t xml:space="preserve">aliquota flat </w:t>
      </w:r>
      <w:r w:rsidRPr="00FE7D0A">
        <w:rPr>
          <w:rFonts w:ascii="Arial" w:eastAsia="Times New Roman" w:hAnsi="Arial" w:cs="Arial"/>
          <w:lang w:eastAsia="it-IT"/>
        </w:rPr>
        <w:t xml:space="preserve">parificata a quella dell’IRES e successiva “tassazione a saldo” in occasione della distribuzione dei redditi agli associati”. </w:t>
      </w:r>
    </w:p>
    <w:p w14:paraId="316C3629" w14:textId="092E1CB4" w:rsidR="00FE7D0A" w:rsidRPr="00FE7D0A" w:rsidRDefault="00FE7D0A" w:rsidP="00A80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AD0C8C" w14:textId="77777777" w:rsidR="00FE7D0A" w:rsidRPr="0068400F" w:rsidRDefault="00FE7D0A" w:rsidP="00C92A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255A351" w14:textId="42A4F078" w:rsidR="000E5CD6" w:rsidRPr="000E5CD6" w:rsidRDefault="000E5CD6" w:rsidP="00740E03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sectPr w:rsidR="000E5CD6" w:rsidRPr="000E5CD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6321E" w14:textId="77777777" w:rsidR="00253D0F" w:rsidRDefault="00253D0F" w:rsidP="00AA6862">
      <w:pPr>
        <w:spacing w:after="0" w:line="240" w:lineRule="auto"/>
      </w:pPr>
      <w:r>
        <w:separator/>
      </w:r>
    </w:p>
  </w:endnote>
  <w:endnote w:type="continuationSeparator" w:id="0">
    <w:p w14:paraId="34E58191" w14:textId="77777777" w:rsidR="00253D0F" w:rsidRDefault="00253D0F" w:rsidP="00AA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36BDB" w14:textId="77777777" w:rsidR="00253D0F" w:rsidRDefault="00253D0F" w:rsidP="00AA6862">
      <w:pPr>
        <w:spacing w:after="0" w:line="240" w:lineRule="auto"/>
      </w:pPr>
      <w:r>
        <w:separator/>
      </w:r>
    </w:p>
  </w:footnote>
  <w:footnote w:type="continuationSeparator" w:id="0">
    <w:p w14:paraId="78861858" w14:textId="77777777" w:rsidR="00253D0F" w:rsidRDefault="00253D0F" w:rsidP="00AA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A62BF" w14:textId="786E6606" w:rsidR="00AA6862" w:rsidRDefault="00AA6862">
    <w:pPr>
      <w:pStyle w:val="Intestazione"/>
    </w:pPr>
    <w:r w:rsidRPr="00A945F8">
      <w:rPr>
        <w:noProof/>
      </w:rPr>
      <w:drawing>
        <wp:inline distT="0" distB="0" distL="0" distR="0" wp14:anchorId="3E4CE58C" wp14:editId="270EFEF5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17757"/>
    <w:multiLevelType w:val="multilevel"/>
    <w:tmpl w:val="226C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B2C95"/>
    <w:multiLevelType w:val="multilevel"/>
    <w:tmpl w:val="F406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678A5"/>
    <w:multiLevelType w:val="multilevel"/>
    <w:tmpl w:val="504A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D6C1B"/>
    <w:multiLevelType w:val="multilevel"/>
    <w:tmpl w:val="1C6A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F4"/>
    <w:rsid w:val="00085C16"/>
    <w:rsid w:val="000914D7"/>
    <w:rsid w:val="000E5CD6"/>
    <w:rsid w:val="00130CB6"/>
    <w:rsid w:val="00191DD3"/>
    <w:rsid w:val="00195613"/>
    <w:rsid w:val="001F07F4"/>
    <w:rsid w:val="0024297D"/>
    <w:rsid w:val="00253D0F"/>
    <w:rsid w:val="003215C9"/>
    <w:rsid w:val="003E22AC"/>
    <w:rsid w:val="004533C6"/>
    <w:rsid w:val="00474735"/>
    <w:rsid w:val="004A4801"/>
    <w:rsid w:val="005431A6"/>
    <w:rsid w:val="00564F3B"/>
    <w:rsid w:val="00567BA9"/>
    <w:rsid w:val="005C6F31"/>
    <w:rsid w:val="005D73A9"/>
    <w:rsid w:val="005F69CE"/>
    <w:rsid w:val="006432B1"/>
    <w:rsid w:val="00657927"/>
    <w:rsid w:val="0068400F"/>
    <w:rsid w:val="0071422D"/>
    <w:rsid w:val="007252F1"/>
    <w:rsid w:val="00740E03"/>
    <w:rsid w:val="007C56FC"/>
    <w:rsid w:val="00893F38"/>
    <w:rsid w:val="00920717"/>
    <w:rsid w:val="009279A0"/>
    <w:rsid w:val="00942AAE"/>
    <w:rsid w:val="00A565FC"/>
    <w:rsid w:val="00A77A90"/>
    <w:rsid w:val="00A800CF"/>
    <w:rsid w:val="00A808F3"/>
    <w:rsid w:val="00AA6862"/>
    <w:rsid w:val="00AB0589"/>
    <w:rsid w:val="00B3052C"/>
    <w:rsid w:val="00B852B1"/>
    <w:rsid w:val="00C022CA"/>
    <w:rsid w:val="00C371D5"/>
    <w:rsid w:val="00C7692A"/>
    <w:rsid w:val="00C92A42"/>
    <w:rsid w:val="00C963B8"/>
    <w:rsid w:val="00CC204C"/>
    <w:rsid w:val="00D062D0"/>
    <w:rsid w:val="00D645AD"/>
    <w:rsid w:val="00D85917"/>
    <w:rsid w:val="00DB54CE"/>
    <w:rsid w:val="00EB43DC"/>
    <w:rsid w:val="00F17ED5"/>
    <w:rsid w:val="00F626B6"/>
    <w:rsid w:val="00F862E1"/>
    <w:rsid w:val="00FB192B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A4D5"/>
  <w15:chartTrackingRefBased/>
  <w15:docId w15:val="{4060DD11-81CB-4D0A-947D-3144C178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862"/>
  </w:style>
  <w:style w:type="paragraph" w:styleId="Pidipagina">
    <w:name w:val="footer"/>
    <w:basedOn w:val="Normale"/>
    <w:link w:val="PidipaginaCarattere"/>
    <w:uiPriority w:val="99"/>
    <w:unhideWhenUsed/>
    <w:rsid w:val="00AA6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862"/>
  </w:style>
  <w:style w:type="paragraph" w:styleId="NormaleWeb">
    <w:name w:val="Normal (Web)"/>
    <w:basedOn w:val="Normale"/>
    <w:uiPriority w:val="99"/>
    <w:unhideWhenUsed/>
    <w:rsid w:val="00D0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06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9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2021-03-05T12:01:00Z</dcterms:created>
  <dcterms:modified xsi:type="dcterms:W3CDTF">2021-03-05T16:40:00Z</dcterms:modified>
</cp:coreProperties>
</file>