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104" w:rsidRDefault="009D1104" w:rsidP="009D1104">
      <w:pPr>
        <w:pStyle w:val="NormaleWeb"/>
        <w:spacing w:before="0" w:beforeAutospacing="0" w:after="0" w:afterAutospacing="0"/>
        <w:jc w:val="both"/>
        <w:rPr>
          <w:rFonts w:ascii="Arial" w:hAnsi="Arial" w:cs="Arial"/>
        </w:rPr>
      </w:pPr>
    </w:p>
    <w:p w:rsidR="00522FA7" w:rsidRPr="00522FA7" w:rsidRDefault="00522FA7" w:rsidP="00522FA7">
      <w:pPr>
        <w:shd w:val="clear" w:color="auto" w:fill="FFFFFF"/>
        <w:jc w:val="both"/>
        <w:rPr>
          <w:rFonts w:ascii="Calibri" w:eastAsia="Times New Roman" w:hAnsi="Calibri" w:cs="Calibri"/>
          <w:color w:val="000000"/>
          <w:sz w:val="20"/>
          <w:szCs w:val="20"/>
          <w:lang w:eastAsia="it-IT"/>
        </w:rPr>
      </w:pPr>
      <w:r w:rsidRPr="00522FA7">
        <w:rPr>
          <w:rFonts w:ascii="Arial" w:eastAsia="Times New Roman" w:hAnsi="Arial" w:cs="Arial"/>
          <w:b/>
          <w:bCs/>
          <w:color w:val="000000"/>
          <w:sz w:val="20"/>
          <w:szCs w:val="20"/>
          <w:bdr w:val="none" w:sz="0" w:space="0" w:color="auto" w:frame="1"/>
          <w:lang w:eastAsia="it-IT"/>
        </w:rPr>
        <w:t>COMUNICATO STAMPA</w:t>
      </w:r>
      <w:r w:rsidRPr="00522FA7">
        <w:rPr>
          <w:rFonts w:ascii="inherit" w:eastAsia="Times New Roman" w:hAnsi="inherit" w:cs="Arial"/>
          <w:b/>
          <w:bCs/>
          <w:color w:val="000000"/>
          <w:sz w:val="20"/>
          <w:szCs w:val="20"/>
          <w:bdr w:val="none" w:sz="0" w:space="0" w:color="auto" w:frame="1"/>
          <w:lang w:eastAsia="it-IT"/>
        </w:rPr>
        <w:t> </w:t>
      </w:r>
    </w:p>
    <w:p w:rsidR="00522FA7" w:rsidRPr="00522FA7" w:rsidRDefault="00522FA7" w:rsidP="00522FA7">
      <w:pPr>
        <w:shd w:val="clear" w:color="auto" w:fill="FFFFFF"/>
        <w:jc w:val="both"/>
        <w:rPr>
          <w:rFonts w:ascii="Calibri" w:eastAsia="Times New Roman" w:hAnsi="Calibri" w:cs="Calibri"/>
          <w:color w:val="000000"/>
          <w:lang w:eastAsia="it-IT"/>
        </w:rPr>
      </w:pPr>
    </w:p>
    <w:p w:rsidR="00522FA7" w:rsidRPr="00522FA7" w:rsidRDefault="00522FA7" w:rsidP="00522FA7">
      <w:pPr>
        <w:shd w:val="clear" w:color="auto" w:fill="FFFFFF"/>
        <w:spacing w:line="240" w:lineRule="atLeast"/>
        <w:jc w:val="both"/>
        <w:rPr>
          <w:rFonts w:ascii="Calibri" w:eastAsia="Times New Roman" w:hAnsi="Calibri" w:cs="Calibri"/>
          <w:color w:val="000000"/>
          <w:sz w:val="22"/>
          <w:szCs w:val="22"/>
          <w:lang w:eastAsia="it-IT"/>
        </w:rPr>
      </w:pPr>
      <w:r w:rsidRPr="00522FA7">
        <w:rPr>
          <w:rFonts w:ascii="Arial" w:eastAsia="Times New Roman" w:hAnsi="Arial" w:cs="Arial"/>
          <w:b/>
          <w:bCs/>
          <w:color w:val="000000"/>
          <w:sz w:val="22"/>
          <w:szCs w:val="22"/>
          <w:bdr w:val="none" w:sz="0" w:space="0" w:color="auto" w:frame="1"/>
          <w:lang w:eastAsia="it-IT"/>
        </w:rPr>
        <w:t>FISCO: COMMERCIALISTI A RUFFINI, PROROGARE LE DELEGHE PER LA FATTURAZIONE ELETTRONICA</w:t>
      </w:r>
      <w:r w:rsidRPr="00522FA7">
        <w:rPr>
          <w:rFonts w:ascii="inherit" w:eastAsia="Times New Roman" w:hAnsi="inherit" w:cs="Arial"/>
          <w:b/>
          <w:bCs/>
          <w:color w:val="000000"/>
          <w:sz w:val="22"/>
          <w:szCs w:val="22"/>
          <w:bdr w:val="none" w:sz="0" w:space="0" w:color="auto" w:frame="1"/>
          <w:lang w:eastAsia="it-IT"/>
        </w:rPr>
        <w:t> </w:t>
      </w:r>
    </w:p>
    <w:p w:rsidR="00522FA7" w:rsidRPr="00522FA7" w:rsidRDefault="00522FA7" w:rsidP="00522FA7">
      <w:pPr>
        <w:shd w:val="clear" w:color="auto" w:fill="FFFFFF"/>
        <w:spacing w:line="240" w:lineRule="atLeast"/>
        <w:jc w:val="both"/>
        <w:rPr>
          <w:rFonts w:ascii="Calibri" w:eastAsia="Times New Roman" w:hAnsi="Calibri" w:cs="Calibri"/>
          <w:color w:val="000000"/>
          <w:sz w:val="22"/>
          <w:szCs w:val="22"/>
          <w:lang w:eastAsia="it-IT"/>
        </w:rPr>
      </w:pPr>
      <w:r w:rsidRPr="00522FA7">
        <w:rPr>
          <w:rFonts w:ascii="Arial" w:eastAsia="Times New Roman" w:hAnsi="Arial" w:cs="Arial"/>
          <w:b/>
          <w:bCs/>
          <w:color w:val="000000"/>
          <w:sz w:val="22"/>
          <w:szCs w:val="22"/>
          <w:bdr w:val="none" w:sz="0" w:space="0" w:color="auto" w:frame="1"/>
          <w:lang w:eastAsia="it-IT"/>
        </w:rPr>
        <w:t>In una lettera alle Entrate il presidente della categoria Miani chiede anche di fare chiarezza sulle polizze assicurative per i visti di conformità relativi al Superbonus del 110%</w:t>
      </w:r>
      <w:r w:rsidRPr="00522FA7">
        <w:rPr>
          <w:rFonts w:ascii="inherit" w:eastAsia="Times New Roman" w:hAnsi="inherit" w:cs="Arial"/>
          <w:b/>
          <w:bCs/>
          <w:color w:val="000000"/>
          <w:sz w:val="22"/>
          <w:szCs w:val="22"/>
          <w:bdr w:val="none" w:sz="0" w:space="0" w:color="auto" w:frame="1"/>
          <w:lang w:eastAsia="it-IT"/>
        </w:rPr>
        <w:t> </w:t>
      </w:r>
    </w:p>
    <w:p w:rsidR="00522FA7" w:rsidRPr="00522FA7" w:rsidRDefault="00522FA7" w:rsidP="00522FA7">
      <w:pPr>
        <w:shd w:val="clear" w:color="auto" w:fill="FFFFFF"/>
        <w:spacing w:line="240" w:lineRule="atLeast"/>
        <w:jc w:val="both"/>
        <w:rPr>
          <w:rFonts w:ascii="Calibri" w:eastAsia="Times New Roman" w:hAnsi="Calibri" w:cs="Calibri"/>
          <w:color w:val="000000"/>
          <w:sz w:val="20"/>
          <w:szCs w:val="20"/>
          <w:lang w:eastAsia="it-IT"/>
        </w:rPr>
      </w:pPr>
    </w:p>
    <w:p w:rsidR="00522FA7" w:rsidRPr="00522FA7" w:rsidRDefault="00522FA7" w:rsidP="00522FA7">
      <w:pPr>
        <w:shd w:val="clear" w:color="auto" w:fill="FFFFFF"/>
        <w:jc w:val="both"/>
        <w:rPr>
          <w:rFonts w:ascii="Calibri" w:eastAsia="Times New Roman" w:hAnsi="Calibri" w:cs="Calibri"/>
          <w:color w:val="000000"/>
          <w:sz w:val="20"/>
          <w:szCs w:val="20"/>
          <w:lang w:eastAsia="it-IT"/>
        </w:rPr>
      </w:pPr>
      <w:r w:rsidRPr="00522FA7">
        <w:rPr>
          <w:rFonts w:ascii="Arial" w:eastAsia="Times New Roman" w:hAnsi="Arial" w:cs="Arial"/>
          <w:i/>
          <w:iCs/>
          <w:color w:val="000000"/>
          <w:sz w:val="20"/>
          <w:szCs w:val="20"/>
          <w:bdr w:val="none" w:sz="0" w:space="0" w:color="auto" w:frame="1"/>
          <w:lang w:eastAsia="it-IT"/>
        </w:rPr>
        <w:t>Roma, 4 dicembre 2020 –</w:t>
      </w:r>
      <w:r w:rsidR="00FC3336">
        <w:rPr>
          <w:rFonts w:ascii="Arial" w:eastAsia="Times New Roman" w:hAnsi="Arial" w:cs="Arial"/>
          <w:i/>
          <w:iCs/>
          <w:color w:val="000000"/>
          <w:sz w:val="20"/>
          <w:szCs w:val="20"/>
          <w:bdr w:val="none" w:sz="0" w:space="0" w:color="auto" w:frame="1"/>
          <w:lang w:eastAsia="it-IT"/>
        </w:rPr>
        <w:t xml:space="preserve"> </w:t>
      </w:r>
      <w:r w:rsidRPr="00522FA7">
        <w:rPr>
          <w:rFonts w:ascii="Arial" w:eastAsia="Times New Roman" w:hAnsi="Arial" w:cs="Arial"/>
          <w:color w:val="000000"/>
          <w:sz w:val="20"/>
          <w:szCs w:val="20"/>
          <w:bdr w:val="none" w:sz="0" w:space="0" w:color="auto" w:frame="1"/>
          <w:lang w:eastAsia="it-IT"/>
        </w:rPr>
        <w:t xml:space="preserve">Prorogare le </w:t>
      </w:r>
      <w:r w:rsidRPr="00522FA7">
        <w:rPr>
          <w:rFonts w:ascii="Arial" w:eastAsia="Times New Roman" w:hAnsi="Arial" w:cs="Arial"/>
          <w:b/>
          <w:bCs/>
          <w:color w:val="000000"/>
          <w:sz w:val="20"/>
          <w:szCs w:val="20"/>
          <w:bdr w:val="none" w:sz="0" w:space="0" w:color="auto" w:frame="1"/>
          <w:lang w:eastAsia="it-IT"/>
        </w:rPr>
        <w:t>deleghe per l’utilizzo dei servizi di fatturazione elettronica</w:t>
      </w:r>
      <w:r w:rsidR="00FC3336">
        <w:rPr>
          <w:rFonts w:ascii="Arial" w:eastAsia="Times New Roman" w:hAnsi="Arial" w:cs="Arial"/>
          <w:b/>
          <w:bCs/>
          <w:color w:val="000000"/>
          <w:sz w:val="20"/>
          <w:szCs w:val="20"/>
          <w:bdr w:val="none" w:sz="0" w:space="0" w:color="auto" w:frame="1"/>
          <w:lang w:eastAsia="it-IT"/>
        </w:rPr>
        <w:t xml:space="preserve"> </w:t>
      </w:r>
      <w:r w:rsidRPr="00522FA7">
        <w:rPr>
          <w:rFonts w:ascii="Arial" w:eastAsia="Times New Roman" w:hAnsi="Arial" w:cs="Arial"/>
          <w:color w:val="000000"/>
          <w:sz w:val="20"/>
          <w:szCs w:val="20"/>
          <w:bdr w:val="none" w:sz="0" w:space="0" w:color="auto" w:frame="1"/>
          <w:lang w:eastAsia="it-IT"/>
        </w:rPr>
        <w:t xml:space="preserve">e fare chiarezza in tema di </w:t>
      </w:r>
      <w:r w:rsidRPr="00522FA7">
        <w:rPr>
          <w:rFonts w:ascii="Arial" w:eastAsia="Times New Roman" w:hAnsi="Arial" w:cs="Arial"/>
          <w:b/>
          <w:bCs/>
          <w:color w:val="000000"/>
          <w:sz w:val="20"/>
          <w:szCs w:val="20"/>
          <w:bdr w:val="none" w:sz="0" w:space="0" w:color="auto" w:frame="1"/>
          <w:lang w:eastAsia="it-IT"/>
        </w:rPr>
        <w:t xml:space="preserve">polizze assicurative </w:t>
      </w:r>
      <w:r w:rsidRPr="00522FA7">
        <w:rPr>
          <w:rFonts w:ascii="Arial" w:eastAsia="Times New Roman" w:hAnsi="Arial" w:cs="Arial"/>
          <w:color w:val="000000"/>
          <w:sz w:val="20"/>
          <w:szCs w:val="20"/>
          <w:bdr w:val="none" w:sz="0" w:space="0" w:color="auto" w:frame="1"/>
          <w:lang w:eastAsia="it-IT"/>
        </w:rPr>
        <w:t xml:space="preserve">per </w:t>
      </w:r>
      <w:r w:rsidRPr="00522FA7">
        <w:rPr>
          <w:rFonts w:ascii="Arial" w:eastAsia="Times New Roman" w:hAnsi="Arial" w:cs="Arial"/>
          <w:b/>
          <w:bCs/>
          <w:color w:val="000000"/>
          <w:sz w:val="20"/>
          <w:szCs w:val="20"/>
          <w:bdr w:val="none" w:sz="0" w:space="0" w:color="auto" w:frame="1"/>
          <w:lang w:eastAsia="it-IT"/>
        </w:rPr>
        <w:t xml:space="preserve">visti di conformità </w:t>
      </w:r>
      <w:r w:rsidRPr="00522FA7">
        <w:rPr>
          <w:rFonts w:ascii="Arial" w:eastAsia="Times New Roman" w:hAnsi="Arial" w:cs="Arial"/>
          <w:color w:val="000000"/>
          <w:sz w:val="20"/>
          <w:szCs w:val="20"/>
          <w:bdr w:val="none" w:sz="0" w:space="0" w:color="auto" w:frame="1"/>
          <w:lang w:eastAsia="it-IT"/>
        </w:rPr>
        <w:t xml:space="preserve">relativi al Superbonus del 110%. Sono le richieste del Consiglio nazionale dei commercialisti contenute in una lettera inviata oggi dal presidente della categoria, </w:t>
      </w:r>
      <w:r w:rsidRPr="00522FA7">
        <w:rPr>
          <w:rFonts w:ascii="Arial" w:eastAsia="Times New Roman" w:hAnsi="Arial" w:cs="Arial"/>
          <w:b/>
          <w:bCs/>
          <w:color w:val="000000"/>
          <w:sz w:val="20"/>
          <w:szCs w:val="20"/>
          <w:bdr w:val="none" w:sz="0" w:space="0" w:color="auto" w:frame="1"/>
          <w:lang w:eastAsia="it-IT"/>
        </w:rPr>
        <w:t>Massimo Miani</w:t>
      </w:r>
      <w:r w:rsidRPr="00522FA7">
        <w:rPr>
          <w:rFonts w:ascii="Arial" w:eastAsia="Times New Roman" w:hAnsi="Arial" w:cs="Arial"/>
          <w:color w:val="000000"/>
          <w:sz w:val="20"/>
          <w:szCs w:val="20"/>
          <w:bdr w:val="none" w:sz="0" w:space="0" w:color="auto" w:frame="1"/>
          <w:lang w:eastAsia="it-IT"/>
        </w:rPr>
        <w:t xml:space="preserve">, al direttore dell’Agenzia delle Entrate, </w:t>
      </w:r>
      <w:r w:rsidRPr="00522FA7">
        <w:rPr>
          <w:rFonts w:ascii="Arial" w:eastAsia="Times New Roman" w:hAnsi="Arial" w:cs="Arial"/>
          <w:b/>
          <w:bCs/>
          <w:color w:val="000000"/>
          <w:sz w:val="20"/>
          <w:szCs w:val="20"/>
          <w:bdr w:val="none" w:sz="0" w:space="0" w:color="auto" w:frame="1"/>
          <w:lang w:eastAsia="it-IT"/>
        </w:rPr>
        <w:t>Ernesto Maria Ruffini</w:t>
      </w:r>
      <w:r w:rsidRPr="00522FA7">
        <w:rPr>
          <w:rFonts w:ascii="Arial" w:eastAsia="Times New Roman" w:hAnsi="Arial" w:cs="Arial"/>
          <w:color w:val="000000"/>
          <w:sz w:val="20"/>
          <w:szCs w:val="20"/>
          <w:bdr w:val="none" w:sz="0" w:space="0" w:color="auto" w:frame="1"/>
          <w:lang w:eastAsia="it-IT"/>
        </w:rPr>
        <w:t>.</w:t>
      </w:r>
      <w:r w:rsidRPr="00522FA7">
        <w:rPr>
          <w:rFonts w:ascii="inherit" w:eastAsia="Times New Roman" w:hAnsi="inherit" w:cs="Arial"/>
          <w:color w:val="000000"/>
          <w:sz w:val="20"/>
          <w:szCs w:val="20"/>
          <w:bdr w:val="none" w:sz="0" w:space="0" w:color="auto" w:frame="1"/>
          <w:lang w:eastAsia="it-IT"/>
        </w:rPr>
        <w:t> </w:t>
      </w:r>
    </w:p>
    <w:p w:rsidR="00522FA7" w:rsidRPr="00522FA7" w:rsidRDefault="00522FA7" w:rsidP="00522FA7">
      <w:pPr>
        <w:shd w:val="clear" w:color="auto" w:fill="FFFFFF"/>
        <w:jc w:val="both"/>
        <w:rPr>
          <w:rFonts w:ascii="Calibri" w:eastAsia="Times New Roman" w:hAnsi="Calibri" w:cs="Calibri"/>
          <w:color w:val="000000"/>
          <w:sz w:val="20"/>
          <w:szCs w:val="20"/>
          <w:lang w:eastAsia="it-IT"/>
        </w:rPr>
      </w:pPr>
    </w:p>
    <w:p w:rsidR="00522FA7" w:rsidRDefault="00522FA7" w:rsidP="00522FA7">
      <w:pPr>
        <w:shd w:val="clear" w:color="auto" w:fill="FFFFFF"/>
        <w:jc w:val="both"/>
        <w:rPr>
          <w:rFonts w:ascii="Calibri" w:eastAsia="Times New Roman" w:hAnsi="Calibri" w:cs="Calibri"/>
          <w:color w:val="000000"/>
          <w:sz w:val="20"/>
          <w:szCs w:val="20"/>
          <w:lang w:eastAsia="it-IT"/>
        </w:rPr>
      </w:pPr>
      <w:r w:rsidRPr="00522FA7">
        <w:rPr>
          <w:rFonts w:ascii="Arial" w:eastAsia="Times New Roman" w:hAnsi="Arial" w:cs="Arial"/>
          <w:color w:val="000000"/>
          <w:sz w:val="20"/>
          <w:szCs w:val="20"/>
          <w:bdr w:val="none" w:sz="0" w:space="0" w:color="auto" w:frame="1"/>
          <w:lang w:eastAsia="it-IT"/>
        </w:rPr>
        <w:t xml:space="preserve">“A distanza di due anni dall’implementazione dei servizi di fatturazione elettronica, resi disponibili attraverso il portale “Fatture e corrispettivi” dell’Agenzia delle entrate”, scrive Miani, “stanno per venire a </w:t>
      </w:r>
      <w:r w:rsidRPr="00522FA7">
        <w:rPr>
          <w:rFonts w:ascii="Arial" w:eastAsia="Times New Roman" w:hAnsi="Arial" w:cs="Arial"/>
          <w:b/>
          <w:bCs/>
          <w:color w:val="000000"/>
          <w:sz w:val="20"/>
          <w:szCs w:val="20"/>
          <w:bdr w:val="none" w:sz="0" w:space="0" w:color="auto" w:frame="1"/>
          <w:lang w:eastAsia="it-IT"/>
        </w:rPr>
        <w:t xml:space="preserve">scadenza </w:t>
      </w:r>
      <w:r w:rsidRPr="00522FA7">
        <w:rPr>
          <w:rFonts w:ascii="Arial" w:eastAsia="Times New Roman" w:hAnsi="Arial" w:cs="Arial"/>
          <w:color w:val="000000"/>
          <w:sz w:val="20"/>
          <w:szCs w:val="20"/>
          <w:bdr w:val="none" w:sz="0" w:space="0" w:color="auto" w:frame="1"/>
          <w:lang w:eastAsia="it-IT"/>
        </w:rPr>
        <w:t xml:space="preserve">in questo periodo, le </w:t>
      </w:r>
      <w:r w:rsidRPr="00522FA7">
        <w:rPr>
          <w:rFonts w:ascii="Arial" w:eastAsia="Times New Roman" w:hAnsi="Arial" w:cs="Arial"/>
          <w:b/>
          <w:bCs/>
          <w:color w:val="000000"/>
          <w:sz w:val="20"/>
          <w:szCs w:val="20"/>
          <w:bdr w:val="none" w:sz="0" w:space="0" w:color="auto" w:frame="1"/>
          <w:lang w:eastAsia="it-IT"/>
        </w:rPr>
        <w:t xml:space="preserve">deleghe </w:t>
      </w:r>
      <w:r w:rsidRPr="00522FA7">
        <w:rPr>
          <w:rFonts w:ascii="Arial" w:eastAsia="Times New Roman" w:hAnsi="Arial" w:cs="Arial"/>
          <w:color w:val="000000"/>
          <w:sz w:val="20"/>
          <w:szCs w:val="20"/>
          <w:bdr w:val="none" w:sz="0" w:space="0" w:color="auto" w:frame="1"/>
          <w:lang w:eastAsia="it-IT"/>
        </w:rPr>
        <w:t xml:space="preserve">conferite dagli </w:t>
      </w:r>
      <w:r w:rsidRPr="00522FA7">
        <w:rPr>
          <w:rFonts w:ascii="Arial" w:eastAsia="Times New Roman" w:hAnsi="Arial" w:cs="Arial"/>
          <w:b/>
          <w:bCs/>
          <w:color w:val="000000"/>
          <w:sz w:val="20"/>
          <w:szCs w:val="20"/>
          <w:bdr w:val="none" w:sz="0" w:space="0" w:color="auto" w:frame="1"/>
          <w:lang w:eastAsia="it-IT"/>
        </w:rPr>
        <w:t xml:space="preserve">operatori economici ai professionisti </w:t>
      </w:r>
      <w:r w:rsidRPr="00522FA7">
        <w:rPr>
          <w:rFonts w:ascii="Arial" w:eastAsia="Times New Roman" w:hAnsi="Arial" w:cs="Arial"/>
          <w:color w:val="000000"/>
          <w:sz w:val="20"/>
          <w:szCs w:val="20"/>
          <w:bdr w:val="none" w:sz="0" w:space="0" w:color="auto" w:frame="1"/>
          <w:lang w:eastAsia="it-IT"/>
        </w:rPr>
        <w:t xml:space="preserve">per l’utilizzo di tali servizi per conto dei propri clienti. Considerato il perdurare </w:t>
      </w:r>
      <w:r w:rsidRPr="00522FA7">
        <w:rPr>
          <w:rFonts w:ascii="Arial" w:eastAsia="Times New Roman" w:hAnsi="Arial" w:cs="Arial"/>
          <w:b/>
          <w:bCs/>
          <w:color w:val="000000"/>
          <w:sz w:val="20"/>
          <w:szCs w:val="20"/>
          <w:bdr w:val="none" w:sz="0" w:space="0" w:color="auto" w:frame="1"/>
          <w:lang w:eastAsia="it-IT"/>
        </w:rPr>
        <w:t xml:space="preserve">dell’emergenza sanitaria </w:t>
      </w:r>
      <w:r w:rsidRPr="00522FA7">
        <w:rPr>
          <w:rFonts w:ascii="Arial" w:eastAsia="Times New Roman" w:hAnsi="Arial" w:cs="Arial"/>
          <w:color w:val="000000"/>
          <w:sz w:val="20"/>
          <w:szCs w:val="20"/>
          <w:bdr w:val="none" w:sz="0" w:space="0" w:color="auto" w:frame="1"/>
          <w:lang w:eastAsia="it-IT"/>
        </w:rPr>
        <w:t xml:space="preserve">dovuta alla pandemia da Covid-19 e le esigenze di contenimento del contagio – che impongono di ridurre al minimo i momenti di contatto con persone diverse dai propri familiari e collaboratori –, sarebbe opportuno </w:t>
      </w:r>
      <w:r w:rsidRPr="00522FA7">
        <w:rPr>
          <w:rFonts w:ascii="Arial" w:eastAsia="Times New Roman" w:hAnsi="Arial" w:cs="Arial"/>
          <w:b/>
          <w:bCs/>
          <w:color w:val="000000"/>
          <w:sz w:val="20"/>
          <w:szCs w:val="20"/>
          <w:bdr w:val="none" w:sz="0" w:space="0" w:color="auto" w:frame="1"/>
          <w:lang w:eastAsia="it-IT"/>
        </w:rPr>
        <w:t xml:space="preserve">evitare </w:t>
      </w:r>
      <w:r w:rsidRPr="00522FA7">
        <w:rPr>
          <w:rFonts w:ascii="Arial" w:eastAsia="Times New Roman" w:hAnsi="Arial" w:cs="Arial"/>
          <w:color w:val="000000"/>
          <w:sz w:val="20"/>
          <w:szCs w:val="20"/>
          <w:bdr w:val="none" w:sz="0" w:space="0" w:color="auto" w:frame="1"/>
          <w:lang w:eastAsia="it-IT"/>
        </w:rPr>
        <w:t xml:space="preserve">gli incontri tra professionisti e propri clienti al solo fine di rinnovare le deleghe in scadenza”. L’auspicio dei commercialisti è “che possa essere </w:t>
      </w:r>
      <w:r w:rsidRPr="00522FA7">
        <w:rPr>
          <w:rFonts w:ascii="Arial" w:eastAsia="Times New Roman" w:hAnsi="Arial" w:cs="Arial"/>
          <w:b/>
          <w:bCs/>
          <w:color w:val="000000"/>
          <w:sz w:val="20"/>
          <w:szCs w:val="20"/>
          <w:bdr w:val="none" w:sz="0" w:space="0" w:color="auto" w:frame="1"/>
          <w:lang w:eastAsia="it-IT"/>
        </w:rPr>
        <w:t>disposta quanto prima la proroga</w:t>
      </w:r>
      <w:r w:rsidRPr="00522FA7">
        <w:rPr>
          <w:rFonts w:ascii="Arial" w:eastAsia="Times New Roman" w:hAnsi="Arial" w:cs="Arial"/>
          <w:color w:val="000000"/>
          <w:sz w:val="20"/>
          <w:szCs w:val="20"/>
          <w:bdr w:val="none" w:sz="0" w:space="0" w:color="auto" w:frame="1"/>
          <w:lang w:eastAsia="it-IT"/>
        </w:rPr>
        <w:t xml:space="preserve">, </w:t>
      </w:r>
      <w:r w:rsidRPr="00522FA7">
        <w:rPr>
          <w:rFonts w:ascii="Arial" w:eastAsia="Times New Roman" w:hAnsi="Arial" w:cs="Arial"/>
          <w:b/>
          <w:bCs/>
          <w:color w:val="000000"/>
          <w:sz w:val="20"/>
          <w:szCs w:val="20"/>
          <w:bdr w:val="none" w:sz="0" w:space="0" w:color="auto" w:frame="1"/>
          <w:lang w:eastAsia="it-IT"/>
        </w:rPr>
        <w:t>almeno annuale</w:t>
      </w:r>
      <w:r w:rsidRPr="00522FA7">
        <w:rPr>
          <w:rFonts w:ascii="Arial" w:eastAsia="Times New Roman" w:hAnsi="Arial" w:cs="Arial"/>
          <w:color w:val="000000"/>
          <w:sz w:val="20"/>
          <w:szCs w:val="20"/>
          <w:bdr w:val="none" w:sz="0" w:space="0" w:color="auto" w:frame="1"/>
          <w:lang w:eastAsia="it-IT"/>
        </w:rPr>
        <w:t>, della validità delle deleghe per l’utilizzo dei servizi di fatturazione elettronica attualmente in uso”.</w:t>
      </w:r>
      <w:r w:rsidRPr="00522FA7">
        <w:rPr>
          <w:rFonts w:ascii="inherit" w:eastAsia="Times New Roman" w:hAnsi="inherit" w:cs="Arial"/>
          <w:color w:val="000000"/>
          <w:sz w:val="20"/>
          <w:szCs w:val="20"/>
          <w:bdr w:val="none" w:sz="0" w:space="0" w:color="auto" w:frame="1"/>
          <w:lang w:eastAsia="it-IT"/>
        </w:rPr>
        <w:t> </w:t>
      </w:r>
    </w:p>
    <w:p w:rsidR="00522FA7" w:rsidRPr="00522FA7" w:rsidRDefault="00522FA7" w:rsidP="00522FA7">
      <w:pPr>
        <w:shd w:val="clear" w:color="auto" w:fill="FFFFFF"/>
        <w:jc w:val="both"/>
        <w:rPr>
          <w:rFonts w:ascii="Calibri" w:eastAsia="Times New Roman" w:hAnsi="Calibri" w:cs="Calibri"/>
          <w:color w:val="000000"/>
          <w:sz w:val="20"/>
          <w:szCs w:val="20"/>
          <w:lang w:eastAsia="it-IT"/>
        </w:rPr>
      </w:pPr>
      <w:r w:rsidRPr="00522FA7">
        <w:rPr>
          <w:rFonts w:ascii="inherit" w:eastAsia="Times New Roman" w:hAnsi="inherit" w:cs="Arial"/>
          <w:color w:val="000000"/>
          <w:sz w:val="20"/>
          <w:szCs w:val="20"/>
          <w:bdr w:val="none" w:sz="0" w:space="0" w:color="auto" w:frame="1"/>
          <w:lang w:eastAsia="it-IT"/>
        </w:rPr>
        <w:br/>
      </w:r>
      <w:r w:rsidRPr="00522FA7">
        <w:rPr>
          <w:rFonts w:ascii="Arial" w:eastAsia="Times New Roman" w:hAnsi="Arial" w:cs="Arial"/>
          <w:color w:val="000000"/>
          <w:sz w:val="20"/>
          <w:szCs w:val="20"/>
          <w:bdr w:val="none" w:sz="0" w:space="0" w:color="auto" w:frame="1"/>
          <w:lang w:eastAsia="it-IT"/>
        </w:rPr>
        <w:t xml:space="preserve">Con riferimento invece alle </w:t>
      </w:r>
      <w:r w:rsidRPr="00522FA7">
        <w:rPr>
          <w:rFonts w:ascii="Arial" w:eastAsia="Times New Roman" w:hAnsi="Arial" w:cs="Arial"/>
          <w:b/>
          <w:bCs/>
          <w:color w:val="000000"/>
          <w:sz w:val="20"/>
          <w:szCs w:val="20"/>
          <w:bdr w:val="none" w:sz="0" w:space="0" w:color="auto" w:frame="1"/>
          <w:lang w:eastAsia="it-IT"/>
        </w:rPr>
        <w:t xml:space="preserve">polizze assicurative </w:t>
      </w:r>
      <w:r w:rsidRPr="00522FA7">
        <w:rPr>
          <w:rFonts w:ascii="Arial" w:eastAsia="Times New Roman" w:hAnsi="Arial" w:cs="Arial"/>
          <w:color w:val="000000"/>
          <w:sz w:val="20"/>
          <w:szCs w:val="20"/>
          <w:bdr w:val="none" w:sz="0" w:space="0" w:color="auto" w:frame="1"/>
          <w:lang w:eastAsia="it-IT"/>
        </w:rPr>
        <w:t xml:space="preserve">della </w:t>
      </w:r>
      <w:r w:rsidRPr="00522FA7">
        <w:rPr>
          <w:rFonts w:ascii="Arial" w:eastAsia="Times New Roman" w:hAnsi="Arial" w:cs="Arial"/>
          <w:b/>
          <w:bCs/>
          <w:color w:val="000000"/>
          <w:sz w:val="20"/>
          <w:szCs w:val="20"/>
          <w:bdr w:val="none" w:sz="0" w:space="0" w:color="auto" w:frame="1"/>
          <w:lang w:eastAsia="it-IT"/>
        </w:rPr>
        <w:t xml:space="preserve">responsabilità civile </w:t>
      </w:r>
      <w:r w:rsidRPr="00522FA7">
        <w:rPr>
          <w:rFonts w:ascii="Arial" w:eastAsia="Times New Roman" w:hAnsi="Arial" w:cs="Arial"/>
          <w:color w:val="000000"/>
          <w:sz w:val="20"/>
          <w:szCs w:val="20"/>
          <w:bdr w:val="none" w:sz="0" w:space="0" w:color="auto" w:frame="1"/>
          <w:lang w:eastAsia="it-IT"/>
        </w:rPr>
        <w:t xml:space="preserve">per il rilascio del </w:t>
      </w:r>
      <w:r w:rsidRPr="00522FA7">
        <w:rPr>
          <w:rFonts w:ascii="Arial" w:eastAsia="Times New Roman" w:hAnsi="Arial" w:cs="Arial"/>
          <w:b/>
          <w:bCs/>
          <w:color w:val="000000"/>
          <w:sz w:val="20"/>
          <w:szCs w:val="20"/>
          <w:bdr w:val="none" w:sz="0" w:space="0" w:color="auto" w:frame="1"/>
          <w:lang w:eastAsia="it-IT"/>
        </w:rPr>
        <w:t xml:space="preserve">visto di conformità </w:t>
      </w:r>
      <w:r w:rsidRPr="00522FA7">
        <w:rPr>
          <w:rFonts w:ascii="Arial" w:eastAsia="Times New Roman" w:hAnsi="Arial" w:cs="Arial"/>
          <w:color w:val="000000"/>
          <w:sz w:val="20"/>
          <w:szCs w:val="20"/>
          <w:bdr w:val="none" w:sz="0" w:space="0" w:color="auto" w:frame="1"/>
          <w:lang w:eastAsia="it-IT"/>
        </w:rPr>
        <w:t xml:space="preserve">sulle comunicazioni dell’opzione per la cessione del credito d’imposta o lo sconto in fattura relative al c.d.  </w:t>
      </w:r>
      <w:r w:rsidRPr="00522FA7">
        <w:rPr>
          <w:rFonts w:ascii="Arial" w:eastAsia="Times New Roman" w:hAnsi="Arial" w:cs="Arial"/>
          <w:b/>
          <w:bCs/>
          <w:color w:val="000000"/>
          <w:sz w:val="20"/>
          <w:szCs w:val="20"/>
          <w:bdr w:val="none" w:sz="0" w:space="0" w:color="auto" w:frame="1"/>
          <w:lang w:eastAsia="it-IT"/>
        </w:rPr>
        <w:t>Superbonus del 110%</w:t>
      </w:r>
      <w:r w:rsidRPr="00522FA7">
        <w:rPr>
          <w:rFonts w:ascii="Arial" w:eastAsia="Times New Roman" w:hAnsi="Arial" w:cs="Arial"/>
          <w:color w:val="000000"/>
          <w:sz w:val="20"/>
          <w:szCs w:val="20"/>
          <w:bdr w:val="none" w:sz="0" w:space="0" w:color="auto" w:frame="1"/>
          <w:lang w:eastAsia="it-IT"/>
        </w:rPr>
        <w:t xml:space="preserve">, Miani scrive a Ruffini che “sono giunte al Consiglio nazionale dei commercialisti segnalazioni su iniziative da parte di alcune Direzioni territoriali dell’Agenzia delle entrate, finalizzate al controllo della validità di tali visti, con cui viene richiesto ai professionisti (peraltro, tramite lettera inviata agli Ordini territoriali dei Commercialisti) l’invio di copia della polizza assicurativa che “dovrà prevedere specifica </w:t>
      </w:r>
      <w:r w:rsidRPr="00522FA7">
        <w:rPr>
          <w:rFonts w:ascii="Arial" w:eastAsia="Times New Roman" w:hAnsi="Arial" w:cs="Arial"/>
          <w:b/>
          <w:bCs/>
          <w:color w:val="000000"/>
          <w:sz w:val="20"/>
          <w:szCs w:val="20"/>
          <w:bdr w:val="none" w:sz="0" w:space="0" w:color="auto" w:frame="1"/>
          <w:lang w:eastAsia="it-IT"/>
        </w:rPr>
        <w:t xml:space="preserve">clausola di copertura per tale attività </w:t>
      </w:r>
      <w:r w:rsidRPr="00522FA7">
        <w:rPr>
          <w:rFonts w:ascii="Arial" w:eastAsia="Times New Roman" w:hAnsi="Arial" w:cs="Arial"/>
          <w:color w:val="000000"/>
          <w:sz w:val="20"/>
          <w:szCs w:val="20"/>
          <w:bdr w:val="none" w:sz="0" w:space="0" w:color="auto" w:frame="1"/>
          <w:lang w:eastAsia="it-IT"/>
        </w:rPr>
        <w:t>di apposizione del visto di conformità sul modello di opzione per la cessione o per lo sconto in fattura”.</w:t>
      </w:r>
      <w:r w:rsidRPr="00522FA7">
        <w:rPr>
          <w:rFonts w:ascii="inherit" w:eastAsia="Times New Roman" w:hAnsi="inherit" w:cs="Arial"/>
          <w:color w:val="000000"/>
          <w:sz w:val="20"/>
          <w:szCs w:val="20"/>
          <w:bdr w:val="none" w:sz="0" w:space="0" w:color="auto" w:frame="1"/>
          <w:lang w:eastAsia="it-IT"/>
        </w:rPr>
        <w:t> </w:t>
      </w:r>
    </w:p>
    <w:p w:rsidR="00522FA7" w:rsidRPr="00522FA7" w:rsidRDefault="00522FA7" w:rsidP="00522FA7">
      <w:pPr>
        <w:shd w:val="clear" w:color="auto" w:fill="FFFFFF"/>
        <w:jc w:val="both"/>
        <w:rPr>
          <w:rFonts w:ascii="Calibri" w:eastAsia="Times New Roman" w:hAnsi="Calibri" w:cs="Calibri"/>
          <w:color w:val="000000"/>
          <w:sz w:val="20"/>
          <w:szCs w:val="20"/>
          <w:lang w:eastAsia="it-IT"/>
        </w:rPr>
      </w:pPr>
      <w:r w:rsidRPr="00522FA7">
        <w:rPr>
          <w:rFonts w:ascii="inherit" w:eastAsia="Times New Roman" w:hAnsi="inherit" w:cs="Arial"/>
          <w:color w:val="000000"/>
          <w:sz w:val="20"/>
          <w:szCs w:val="20"/>
          <w:bdr w:val="none" w:sz="0" w:space="0" w:color="auto" w:frame="1"/>
          <w:lang w:eastAsia="it-IT"/>
        </w:rPr>
        <w:br/>
      </w:r>
      <w:r w:rsidRPr="00522FA7">
        <w:rPr>
          <w:rFonts w:ascii="Arial" w:eastAsia="Times New Roman" w:hAnsi="Arial" w:cs="Arial"/>
          <w:color w:val="000000"/>
          <w:sz w:val="20"/>
          <w:szCs w:val="20"/>
          <w:bdr w:val="none" w:sz="0" w:space="0" w:color="auto" w:frame="1"/>
          <w:lang w:eastAsia="it-IT"/>
        </w:rPr>
        <w:t>Il numero uno dei commercialisti ricorda come “al riguardo l’articolo 119, comma 11, del decreto-legge 19 maggio 2020, n. 34 (</w:t>
      </w:r>
      <w:r w:rsidRPr="00522FA7">
        <w:rPr>
          <w:rFonts w:ascii="Arial" w:eastAsia="Times New Roman" w:hAnsi="Arial" w:cs="Arial"/>
          <w:b/>
          <w:bCs/>
          <w:color w:val="000000"/>
          <w:sz w:val="20"/>
          <w:szCs w:val="20"/>
          <w:bdr w:val="none" w:sz="0" w:space="0" w:color="auto" w:frame="1"/>
          <w:lang w:eastAsia="it-IT"/>
        </w:rPr>
        <w:t>c.d. decreto “Rilancio”</w:t>
      </w:r>
      <w:r w:rsidRPr="00522FA7">
        <w:rPr>
          <w:rFonts w:ascii="Arial" w:eastAsia="Times New Roman" w:hAnsi="Arial" w:cs="Arial"/>
          <w:color w:val="000000"/>
          <w:sz w:val="20"/>
          <w:szCs w:val="20"/>
          <w:bdr w:val="none" w:sz="0" w:space="0" w:color="auto" w:frame="1"/>
          <w:lang w:eastAsia="it-IT"/>
        </w:rPr>
        <w:t xml:space="preserve">), convertito, con modificazioni, dalla legge 17 luglio 2020, n. 77, prevede che il visto di conformità relativo al Superbonus del 110% sia rilasciato ai sensi dell’articolo 35 del decreto legislativo 9 luglio 1997, n. 241, ossia della medesima disciplina prevista per i </w:t>
      </w:r>
      <w:r w:rsidRPr="00522FA7">
        <w:rPr>
          <w:rFonts w:ascii="Arial" w:eastAsia="Times New Roman" w:hAnsi="Arial" w:cs="Arial"/>
          <w:b/>
          <w:bCs/>
          <w:color w:val="000000"/>
          <w:sz w:val="20"/>
          <w:szCs w:val="20"/>
          <w:bdr w:val="none" w:sz="0" w:space="0" w:color="auto" w:frame="1"/>
          <w:lang w:eastAsia="it-IT"/>
        </w:rPr>
        <w:t xml:space="preserve">visti di conformità apposti sulle dichiarazioni fiscali </w:t>
      </w:r>
      <w:r w:rsidRPr="00522FA7">
        <w:rPr>
          <w:rFonts w:ascii="Arial" w:eastAsia="Times New Roman" w:hAnsi="Arial" w:cs="Arial"/>
          <w:color w:val="000000"/>
          <w:sz w:val="20"/>
          <w:szCs w:val="20"/>
          <w:bdr w:val="none" w:sz="0" w:space="0" w:color="auto" w:frame="1"/>
          <w:lang w:eastAsia="it-IT"/>
        </w:rPr>
        <w:t>in sede di assistenza fiscale ai contribuenti”.</w:t>
      </w:r>
      <w:r w:rsidRPr="00522FA7">
        <w:rPr>
          <w:rFonts w:ascii="inherit" w:eastAsia="Times New Roman" w:hAnsi="inherit" w:cs="Arial"/>
          <w:color w:val="000000"/>
          <w:sz w:val="20"/>
          <w:szCs w:val="20"/>
          <w:bdr w:val="none" w:sz="0" w:space="0" w:color="auto" w:frame="1"/>
          <w:lang w:eastAsia="it-IT"/>
        </w:rPr>
        <w:t> </w:t>
      </w:r>
      <w:r w:rsidRPr="00522FA7">
        <w:rPr>
          <w:rFonts w:ascii="Arial" w:eastAsia="Times New Roman" w:hAnsi="Arial" w:cs="Arial"/>
          <w:color w:val="000000"/>
          <w:sz w:val="20"/>
          <w:szCs w:val="20"/>
          <w:bdr w:val="none" w:sz="0" w:space="0" w:color="auto" w:frame="1"/>
          <w:lang w:eastAsia="it-IT"/>
        </w:rPr>
        <w:t xml:space="preserve">Ne consegue, prosegue Miani rivolto a Ruffini che “come anche da Lei sottolineato in sede di audizione presso la Commissione parlamentare di vigilanza sull’anagrafe tributaria il 18 novembre u.s. (v. pagg. 18-19 del testo dell’audizione), che </w:t>
      </w:r>
      <w:r w:rsidRPr="00522FA7">
        <w:rPr>
          <w:rFonts w:ascii="Arial" w:eastAsia="Times New Roman" w:hAnsi="Arial" w:cs="Arial"/>
          <w:b/>
          <w:bCs/>
          <w:color w:val="000000"/>
          <w:sz w:val="20"/>
          <w:szCs w:val="20"/>
          <w:bdr w:val="none" w:sz="0" w:space="0" w:color="auto" w:frame="1"/>
          <w:lang w:eastAsia="it-IT"/>
        </w:rPr>
        <w:t xml:space="preserve">non è necessario </w:t>
      </w:r>
      <w:r w:rsidRPr="00522FA7">
        <w:rPr>
          <w:rFonts w:ascii="Arial" w:eastAsia="Times New Roman" w:hAnsi="Arial" w:cs="Arial"/>
          <w:color w:val="000000"/>
          <w:sz w:val="20"/>
          <w:szCs w:val="20"/>
          <w:bdr w:val="none" w:sz="0" w:space="0" w:color="auto" w:frame="1"/>
          <w:lang w:eastAsia="it-IT"/>
        </w:rPr>
        <w:t xml:space="preserve">prevedere alcuna specifica clausola di copertura per i visti di conformità relativi al Superbonus del 110% nelle polizze assicurative già stipulate dai professionisti per il rilascio dei visti di conformità sulle dichiarazioni fiscali in corso di validità, essendo entrambi i visti rilasciati ai sensi della medesima disciplina di cui al citato articolo 35 e alle relative disposizioni di attuazione di cui agli articoli 6 e 22 del decreto del Ministro delle finanze 31 maggio 1999, n. 164. Resta ferma, ovviamente, la necessità che la polizza assicurativa già sottoscritta abbia un </w:t>
      </w:r>
      <w:r w:rsidRPr="00522FA7">
        <w:rPr>
          <w:rFonts w:ascii="Arial" w:eastAsia="Times New Roman" w:hAnsi="Arial" w:cs="Arial"/>
          <w:b/>
          <w:bCs/>
          <w:color w:val="000000"/>
          <w:sz w:val="20"/>
          <w:szCs w:val="20"/>
          <w:bdr w:val="none" w:sz="0" w:space="0" w:color="auto" w:frame="1"/>
          <w:lang w:eastAsia="it-IT"/>
        </w:rPr>
        <w:t xml:space="preserve">massimale adeguato </w:t>
      </w:r>
      <w:r w:rsidRPr="00522FA7">
        <w:rPr>
          <w:rFonts w:ascii="Arial" w:eastAsia="Times New Roman" w:hAnsi="Arial" w:cs="Arial"/>
          <w:color w:val="000000"/>
          <w:sz w:val="20"/>
          <w:szCs w:val="20"/>
          <w:bdr w:val="none" w:sz="0" w:space="0" w:color="auto" w:frame="1"/>
          <w:lang w:eastAsia="it-IT"/>
        </w:rPr>
        <w:t>al numero dei contribuenti assistiti, nonché al numero dei visti di conformità rilasciati, anche sui modelli di opzione per la cessione o per lo sconto in fattura relativi al Superbonus del 110%”.</w:t>
      </w:r>
      <w:r w:rsidRPr="00522FA7">
        <w:rPr>
          <w:rFonts w:ascii="inherit" w:eastAsia="Times New Roman" w:hAnsi="inherit" w:cs="Arial"/>
          <w:color w:val="000000"/>
          <w:sz w:val="20"/>
          <w:szCs w:val="20"/>
          <w:bdr w:val="none" w:sz="0" w:space="0" w:color="auto" w:frame="1"/>
          <w:lang w:eastAsia="it-IT"/>
        </w:rPr>
        <w:t> </w:t>
      </w:r>
      <w:r w:rsidRPr="00522FA7">
        <w:rPr>
          <w:rFonts w:ascii="Arial" w:eastAsia="Times New Roman" w:hAnsi="Arial" w:cs="Arial"/>
          <w:color w:val="000000"/>
          <w:sz w:val="20"/>
          <w:szCs w:val="20"/>
          <w:bdr w:val="none" w:sz="0" w:space="0" w:color="auto" w:frame="1"/>
          <w:lang w:eastAsia="it-IT"/>
        </w:rPr>
        <w:t>La richiesta dei commercialisti è quindi quella di “</w:t>
      </w:r>
      <w:r w:rsidRPr="00522FA7">
        <w:rPr>
          <w:rFonts w:ascii="Arial" w:eastAsia="Times New Roman" w:hAnsi="Arial" w:cs="Arial"/>
          <w:b/>
          <w:bCs/>
          <w:color w:val="000000"/>
          <w:sz w:val="20"/>
          <w:szCs w:val="20"/>
          <w:bdr w:val="none" w:sz="0" w:space="0" w:color="auto" w:frame="1"/>
          <w:lang w:eastAsia="it-IT"/>
        </w:rPr>
        <w:t xml:space="preserve">emanare, al più presto, istruzioni di prassi amministrativa </w:t>
      </w:r>
      <w:r w:rsidRPr="00522FA7">
        <w:rPr>
          <w:rFonts w:ascii="Arial" w:eastAsia="Times New Roman" w:hAnsi="Arial" w:cs="Arial"/>
          <w:color w:val="000000"/>
          <w:sz w:val="20"/>
          <w:szCs w:val="20"/>
          <w:bdr w:val="none" w:sz="0" w:space="0" w:color="auto" w:frame="1"/>
          <w:lang w:eastAsia="it-IT"/>
        </w:rPr>
        <w:t>sul punto, al fine di prevenire incertezze interpretative da parte delle Direzioni territorialmente competenti, evitando inutili adempimenti a carico dei professionisti, non richiesti dalla normativa vigente”.</w:t>
      </w:r>
      <w:r w:rsidRPr="00522FA7">
        <w:rPr>
          <w:rFonts w:ascii="inherit" w:eastAsia="Times New Roman" w:hAnsi="inherit" w:cs="Arial"/>
          <w:color w:val="000000"/>
          <w:sz w:val="20"/>
          <w:szCs w:val="20"/>
          <w:bdr w:val="none" w:sz="0" w:space="0" w:color="auto" w:frame="1"/>
          <w:lang w:eastAsia="it-IT"/>
        </w:rPr>
        <w:t> </w:t>
      </w:r>
    </w:p>
    <w:p w:rsidR="00522FA7" w:rsidRPr="00522FA7" w:rsidRDefault="00522FA7" w:rsidP="00522FA7">
      <w:pPr>
        <w:shd w:val="clear" w:color="auto" w:fill="FFFFFF"/>
        <w:rPr>
          <w:rFonts w:ascii="Calibri" w:eastAsia="Times New Roman" w:hAnsi="Calibri" w:cs="Calibri"/>
          <w:color w:val="000000"/>
          <w:lang w:eastAsia="it-IT"/>
        </w:rPr>
      </w:pPr>
      <w:r w:rsidRPr="00522FA7">
        <w:rPr>
          <w:rFonts w:ascii="inherit" w:eastAsia="Times New Roman" w:hAnsi="inherit" w:cs="Arial"/>
          <w:color w:val="000000"/>
          <w:bdr w:val="none" w:sz="0" w:space="0" w:color="auto" w:frame="1"/>
          <w:lang w:eastAsia="it-IT"/>
        </w:rPr>
        <w:t> </w:t>
      </w:r>
    </w:p>
    <w:p w:rsidR="00B3271C" w:rsidRPr="000A5776" w:rsidRDefault="0006324E" w:rsidP="00522FA7">
      <w:pPr>
        <w:spacing w:before="100" w:beforeAutospacing="1" w:after="100" w:afterAutospacing="1"/>
        <w:jc w:val="both"/>
        <w:rPr>
          <w:rFonts w:ascii="Arial" w:hAnsi="Arial" w:cs="Arial"/>
          <w:sz w:val="20"/>
          <w:szCs w:val="20"/>
        </w:rPr>
      </w:pPr>
      <w:bookmarkStart w:id="0" w:name="_GoBack"/>
      <w:bookmarkEnd w:id="0"/>
    </w:p>
    <w:sectPr w:rsidR="00B3271C" w:rsidRPr="000A5776"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24E" w:rsidRDefault="0006324E" w:rsidP="00627996">
      <w:r>
        <w:separator/>
      </w:r>
    </w:p>
  </w:endnote>
  <w:endnote w:type="continuationSeparator" w:id="0">
    <w:p w:rsidR="0006324E" w:rsidRDefault="0006324E"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24E" w:rsidRDefault="0006324E" w:rsidP="00627996">
      <w:r>
        <w:separator/>
      </w:r>
    </w:p>
  </w:footnote>
  <w:footnote w:type="continuationSeparator" w:id="0">
    <w:p w:rsidR="0006324E" w:rsidRDefault="0006324E"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996" w:rsidRDefault="00627996">
    <w:pPr>
      <w:pStyle w:val="Intestazione"/>
    </w:pPr>
    <w:r w:rsidRPr="00A945F8">
      <w:rPr>
        <w:noProof/>
      </w:rPr>
      <w:drawing>
        <wp:inline distT="0" distB="0" distL="0" distR="0" wp14:anchorId="40129AC2" wp14:editId="24C7E031">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6324E"/>
    <w:rsid w:val="000A5776"/>
    <w:rsid w:val="001B3759"/>
    <w:rsid w:val="001D0C92"/>
    <w:rsid w:val="00206248"/>
    <w:rsid w:val="00237BEE"/>
    <w:rsid w:val="002B1170"/>
    <w:rsid w:val="002B1507"/>
    <w:rsid w:val="002E31F2"/>
    <w:rsid w:val="003248FA"/>
    <w:rsid w:val="003C2FC0"/>
    <w:rsid w:val="004333C6"/>
    <w:rsid w:val="00522FA7"/>
    <w:rsid w:val="00595991"/>
    <w:rsid w:val="00627996"/>
    <w:rsid w:val="00656CC5"/>
    <w:rsid w:val="006854FB"/>
    <w:rsid w:val="00734687"/>
    <w:rsid w:val="00986D90"/>
    <w:rsid w:val="009D1104"/>
    <w:rsid w:val="009F27EC"/>
    <w:rsid w:val="00AC6BB0"/>
    <w:rsid w:val="00D0285A"/>
    <w:rsid w:val="00D41E98"/>
    <w:rsid w:val="00DB4B99"/>
    <w:rsid w:val="00F362E8"/>
    <w:rsid w:val="00F4452F"/>
    <w:rsid w:val="00FC33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CAA8"/>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0A577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594251">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656</Words>
  <Characters>3740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3</cp:revision>
  <dcterms:created xsi:type="dcterms:W3CDTF">2020-12-04T16:41:00Z</dcterms:created>
  <dcterms:modified xsi:type="dcterms:W3CDTF">2020-12-04T16:43:00Z</dcterms:modified>
</cp:coreProperties>
</file>