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3D59CF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bookmarkEnd w:id="0"/>
    <w:bookmarkEnd w:id="1"/>
    <w:p w14:paraId="7F0CAC86" w14:textId="019D1347" w:rsidR="009A1B3D" w:rsidRPr="00831716" w:rsidRDefault="001C7A99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</w:p>
    <w:p w14:paraId="01F93D26" w14:textId="77777777" w:rsidR="007A0A91" w:rsidRPr="00831716" w:rsidRDefault="007A0A91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D26A12" w14:textId="4D13938B" w:rsidR="007D4241" w:rsidRPr="00831716" w:rsidRDefault="00AC417E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>COMMERCIALISTI, SUPERATA QUOTA 120MILA ISCRITTI</w:t>
      </w:r>
    </w:p>
    <w:p w14:paraId="031016B0" w14:textId="2510077C" w:rsidR="00AC417E" w:rsidRPr="00831716" w:rsidRDefault="00AC417E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 xml:space="preserve">Il rapporto annuale sulla professione evidenzia una crescita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 xml:space="preserve">nel 2021 </w:t>
      </w:r>
      <w:r w:rsidRPr="00831716">
        <w:rPr>
          <w:rFonts w:ascii="Arial" w:hAnsi="Arial" w:cs="Arial"/>
          <w:b/>
          <w:bCs/>
          <w:sz w:val="24"/>
          <w:szCs w:val="24"/>
        </w:rPr>
        <w:t>di iscritti, praticanti, società tra professionisti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. Cresce anche il reddito, ma dal 2007</w:t>
      </w:r>
      <w:r w:rsidR="007002E9" w:rsidRPr="00831716">
        <w:rPr>
          <w:rFonts w:ascii="Arial" w:hAnsi="Arial" w:cs="Arial"/>
          <w:b/>
          <w:bCs/>
          <w:sz w:val="24"/>
          <w:szCs w:val="24"/>
        </w:rPr>
        <w:t>,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1CDE" w:rsidRPr="00831716">
        <w:rPr>
          <w:rFonts w:ascii="Arial" w:hAnsi="Arial" w:cs="Arial"/>
          <w:b/>
          <w:bCs/>
          <w:sz w:val="24"/>
          <w:szCs w:val="24"/>
        </w:rPr>
        <w:t>al netto dell’inflazione</w:t>
      </w:r>
      <w:r w:rsidR="007002E9" w:rsidRPr="00831716">
        <w:rPr>
          <w:rFonts w:ascii="Arial" w:hAnsi="Arial" w:cs="Arial"/>
          <w:b/>
          <w:bCs/>
          <w:sz w:val="24"/>
          <w:szCs w:val="24"/>
        </w:rPr>
        <w:t>,</w:t>
      </w:r>
      <w:r w:rsidR="00021CDE" w:rsidRPr="00831716">
        <w:rPr>
          <w:rFonts w:ascii="Arial" w:hAnsi="Arial" w:cs="Arial"/>
          <w:b/>
          <w:bCs/>
          <w:sz w:val="24"/>
          <w:szCs w:val="24"/>
        </w:rPr>
        <w:t xml:space="preserve"> è crollato del 10,4</w:t>
      </w:r>
      <w:r w:rsidR="007002E9" w:rsidRPr="00831716">
        <w:rPr>
          <w:rFonts w:ascii="Arial" w:hAnsi="Arial" w:cs="Arial"/>
          <w:b/>
          <w:bCs/>
          <w:sz w:val="24"/>
          <w:szCs w:val="24"/>
        </w:rPr>
        <w:t>%</w:t>
      </w:r>
    </w:p>
    <w:p w14:paraId="597254E8" w14:textId="7686DABE" w:rsidR="00DB1FE4" w:rsidRPr="00831716" w:rsidRDefault="00DB1FE4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2"/>
    <w:bookmarkEnd w:id="3"/>
    <w:bookmarkEnd w:id="4"/>
    <w:p w14:paraId="3965AC43" w14:textId="6DCCEEBF" w:rsidR="00A251D5" w:rsidRPr="00831716" w:rsidRDefault="00FE7036" w:rsidP="00A251D5">
      <w:pPr>
        <w:jc w:val="both"/>
        <w:rPr>
          <w:rFonts w:ascii="Arial" w:hAnsi="Arial" w:cs="Arial"/>
          <w:sz w:val="24"/>
          <w:szCs w:val="24"/>
        </w:rPr>
      </w:pPr>
      <w:r w:rsidRPr="00831716">
        <w:rPr>
          <w:rFonts w:ascii="Arial" w:hAnsi="Arial" w:cs="Arial"/>
          <w:i/>
          <w:iCs/>
          <w:sz w:val="24"/>
          <w:szCs w:val="24"/>
        </w:rPr>
        <w:t>Roma, 4 luglio 2022 -</w:t>
      </w:r>
      <w:r w:rsidRPr="00831716">
        <w:rPr>
          <w:rFonts w:ascii="Arial" w:hAnsi="Arial" w:cs="Arial"/>
          <w:sz w:val="24"/>
          <w:szCs w:val="24"/>
        </w:rPr>
        <w:t xml:space="preserve"> </w:t>
      </w:r>
      <w:r w:rsidR="00A251D5" w:rsidRPr="00831716">
        <w:rPr>
          <w:rFonts w:ascii="Arial" w:hAnsi="Arial" w:cs="Arial"/>
          <w:sz w:val="24"/>
          <w:szCs w:val="24"/>
        </w:rPr>
        <w:t xml:space="preserve">Nel 2021, i </w:t>
      </w:r>
      <w:r w:rsidRPr="00831716">
        <w:rPr>
          <w:rFonts w:ascii="Arial" w:hAnsi="Arial" w:cs="Arial"/>
          <w:sz w:val="24"/>
          <w:szCs w:val="24"/>
        </w:rPr>
        <w:t>c</w:t>
      </w:r>
      <w:r w:rsidR="00A251D5" w:rsidRPr="00831716">
        <w:rPr>
          <w:rFonts w:ascii="Arial" w:hAnsi="Arial" w:cs="Arial"/>
          <w:sz w:val="24"/>
          <w:szCs w:val="24"/>
        </w:rPr>
        <w:t xml:space="preserve">ommercialisti italiani hanno superato per la prima volta la soglia delle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120 mila unità</w:t>
      </w:r>
      <w:r w:rsidR="00A251D5" w:rsidRPr="00831716">
        <w:rPr>
          <w:rFonts w:ascii="Arial" w:hAnsi="Arial" w:cs="Arial"/>
          <w:sz w:val="24"/>
          <w:szCs w:val="24"/>
        </w:rPr>
        <w:t xml:space="preserve">, arrivando a 120.269 iscritti totali. La crescita annuale è stata dello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0,8%</w:t>
      </w:r>
      <w:r w:rsidR="00A251D5" w:rsidRPr="00831716">
        <w:rPr>
          <w:rFonts w:ascii="Arial" w:hAnsi="Arial" w:cs="Arial"/>
          <w:sz w:val="24"/>
          <w:szCs w:val="24"/>
        </w:rPr>
        <w:t xml:space="preserve">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(+1,2% al Nord e +0,6% al Sud</w:t>
      </w:r>
      <w:r w:rsidR="00A251D5" w:rsidRPr="00831716">
        <w:rPr>
          <w:rFonts w:ascii="Arial" w:hAnsi="Arial" w:cs="Arial"/>
          <w:sz w:val="24"/>
          <w:szCs w:val="24"/>
        </w:rPr>
        <w:t xml:space="preserve">). È proseguita, per il secondo anno consecutivo, </w:t>
      </w:r>
      <w:r w:rsidR="00590424" w:rsidRPr="00831716">
        <w:rPr>
          <w:rFonts w:ascii="Arial" w:hAnsi="Arial" w:cs="Arial"/>
          <w:sz w:val="24"/>
          <w:szCs w:val="24"/>
        </w:rPr>
        <w:t xml:space="preserve">anche </w:t>
      </w:r>
      <w:r w:rsidR="00A251D5" w:rsidRPr="00831716">
        <w:rPr>
          <w:rFonts w:ascii="Arial" w:hAnsi="Arial" w:cs="Arial"/>
          <w:sz w:val="24"/>
          <w:szCs w:val="24"/>
        </w:rPr>
        <w:t xml:space="preserve">la crescita degli iscritti al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Registro praticanti (+7,9%)</w:t>
      </w:r>
      <w:r w:rsidR="00A251D5" w:rsidRPr="00831716">
        <w:rPr>
          <w:rFonts w:ascii="Arial" w:hAnsi="Arial" w:cs="Arial"/>
          <w:sz w:val="24"/>
          <w:szCs w:val="24"/>
        </w:rPr>
        <w:t xml:space="preserve"> che hanno così sfiorato la cifra di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14 mila unità</w:t>
      </w:r>
      <w:r w:rsidR="00A251D5" w:rsidRPr="00831716">
        <w:rPr>
          <w:rFonts w:ascii="Arial" w:hAnsi="Arial" w:cs="Arial"/>
          <w:sz w:val="24"/>
          <w:szCs w:val="24"/>
        </w:rPr>
        <w:t xml:space="preserve">. La crescita dell’albo è stata spinta, in particolare, dagli iscritti nella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sezione B</w:t>
      </w:r>
      <w:r w:rsidR="00A251D5" w:rsidRPr="00831716">
        <w:rPr>
          <w:rFonts w:ascii="Arial" w:hAnsi="Arial" w:cs="Arial"/>
          <w:sz w:val="24"/>
          <w:szCs w:val="24"/>
        </w:rPr>
        <w:t xml:space="preserve">, ossia gli </w:t>
      </w:r>
      <w:r w:rsidRPr="00831716">
        <w:rPr>
          <w:rFonts w:ascii="Arial" w:hAnsi="Arial" w:cs="Arial"/>
          <w:sz w:val="24"/>
          <w:szCs w:val="24"/>
        </w:rPr>
        <w:t>e</w:t>
      </w:r>
      <w:r w:rsidR="00A251D5" w:rsidRPr="00831716">
        <w:rPr>
          <w:rFonts w:ascii="Arial" w:hAnsi="Arial" w:cs="Arial"/>
          <w:sz w:val="24"/>
          <w:szCs w:val="24"/>
        </w:rPr>
        <w:t xml:space="preserve">sperti contabili (+14,1%), mentre la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sezione A</w:t>
      </w:r>
      <w:r w:rsidR="00A251D5" w:rsidRPr="00831716">
        <w:rPr>
          <w:rFonts w:ascii="Arial" w:hAnsi="Arial" w:cs="Arial"/>
          <w:sz w:val="24"/>
          <w:szCs w:val="24"/>
        </w:rPr>
        <w:t xml:space="preserve">, riservata ai </w:t>
      </w:r>
      <w:r w:rsidRPr="00831716">
        <w:rPr>
          <w:rFonts w:ascii="Arial" w:hAnsi="Arial" w:cs="Arial"/>
          <w:sz w:val="24"/>
          <w:szCs w:val="24"/>
        </w:rPr>
        <w:t>c</w:t>
      </w:r>
      <w:r w:rsidR="00A251D5" w:rsidRPr="00831716">
        <w:rPr>
          <w:rFonts w:ascii="Arial" w:hAnsi="Arial" w:cs="Arial"/>
          <w:sz w:val="24"/>
          <w:szCs w:val="24"/>
        </w:rPr>
        <w:t xml:space="preserve">ommercialisti, ha fatto registrare una crescita dello 0,6%. Molto positivo l’andamento delle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Società tra professionisti (STP)</w:t>
      </w:r>
      <w:r w:rsidR="00A251D5" w:rsidRPr="00831716">
        <w:rPr>
          <w:rFonts w:ascii="Arial" w:hAnsi="Arial" w:cs="Arial"/>
          <w:sz w:val="24"/>
          <w:szCs w:val="24"/>
        </w:rPr>
        <w:t xml:space="preserve"> che hanno oltrepassato le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1.400 unità (+19,4%)</w:t>
      </w:r>
      <w:r w:rsidR="00021CDE" w:rsidRPr="00831716">
        <w:rPr>
          <w:rFonts w:ascii="Arial" w:hAnsi="Arial" w:cs="Arial"/>
          <w:sz w:val="24"/>
          <w:szCs w:val="24"/>
        </w:rPr>
        <w:t xml:space="preserve">, </w:t>
      </w:r>
      <w:r w:rsidR="00A251D5" w:rsidRPr="00831716">
        <w:rPr>
          <w:rFonts w:ascii="Arial" w:hAnsi="Arial" w:cs="Arial"/>
          <w:sz w:val="24"/>
          <w:szCs w:val="24"/>
        </w:rPr>
        <w:t xml:space="preserve">con un incremento molto forte al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Sud (+24,7%)</w:t>
      </w:r>
      <w:r w:rsidR="00A251D5" w:rsidRPr="00831716">
        <w:rPr>
          <w:rFonts w:ascii="Arial" w:hAnsi="Arial" w:cs="Arial"/>
          <w:sz w:val="24"/>
          <w:szCs w:val="24"/>
        </w:rPr>
        <w:t xml:space="preserve">. Infine, </w:t>
      </w:r>
      <w:r w:rsidR="00021CDE" w:rsidRPr="00831716">
        <w:rPr>
          <w:rFonts w:ascii="Arial" w:hAnsi="Arial" w:cs="Arial"/>
          <w:sz w:val="24"/>
          <w:szCs w:val="24"/>
        </w:rPr>
        <w:t>si registra</w:t>
      </w:r>
      <w:r w:rsidR="00A251D5" w:rsidRPr="00831716">
        <w:rPr>
          <w:rFonts w:ascii="Arial" w:hAnsi="Arial" w:cs="Arial"/>
          <w:sz w:val="24"/>
          <w:szCs w:val="24"/>
        </w:rPr>
        <w:t xml:space="preserve"> anche la crescita dei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redditi medi professionali</w:t>
      </w:r>
      <w:r w:rsidR="00A251D5" w:rsidRPr="00831716">
        <w:rPr>
          <w:rFonts w:ascii="Arial" w:hAnsi="Arial" w:cs="Arial"/>
          <w:sz w:val="24"/>
          <w:szCs w:val="24"/>
        </w:rPr>
        <w:t xml:space="preserve">, saliti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dell’1,1% in termini nominali, pari a</w:t>
      </w:r>
      <w:r w:rsidR="00590424" w:rsidRPr="00831716">
        <w:rPr>
          <w:rFonts w:ascii="Arial" w:hAnsi="Arial" w:cs="Arial"/>
          <w:b/>
          <w:bCs/>
          <w:sz w:val="24"/>
          <w:szCs w:val="24"/>
        </w:rPr>
        <w:t>l</w:t>
      </w:r>
      <w:r w:rsidR="00C36030" w:rsidRPr="00831716">
        <w:rPr>
          <w:rFonts w:ascii="Arial" w:hAnsi="Arial" w:cs="Arial"/>
          <w:b/>
          <w:bCs/>
          <w:sz w:val="24"/>
          <w:szCs w:val="24"/>
        </w:rPr>
        <w:t>lo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 xml:space="preserve"> </w:t>
      </w:r>
      <w:r w:rsidR="00C36030" w:rsidRPr="00831716">
        <w:rPr>
          <w:rFonts w:ascii="Arial" w:hAnsi="Arial" w:cs="Arial"/>
          <w:b/>
          <w:bCs/>
          <w:sz w:val="24"/>
          <w:szCs w:val="24"/>
        </w:rPr>
        <w:t>-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0,8% in termini reali</w:t>
      </w:r>
      <w:r w:rsidR="00A251D5" w:rsidRPr="00831716">
        <w:rPr>
          <w:rFonts w:ascii="Arial" w:hAnsi="Arial" w:cs="Arial"/>
          <w:sz w:val="24"/>
          <w:szCs w:val="24"/>
        </w:rPr>
        <w:t>.</w:t>
      </w:r>
      <w:r w:rsidR="00196FE7" w:rsidRPr="00831716">
        <w:rPr>
          <w:rFonts w:ascii="Arial" w:hAnsi="Arial" w:cs="Arial"/>
          <w:sz w:val="24"/>
          <w:szCs w:val="24"/>
        </w:rPr>
        <w:t xml:space="preserve"> 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Rispetto al </w:t>
      </w:r>
      <w:r w:rsidR="00590424" w:rsidRPr="00831716">
        <w:rPr>
          <w:rFonts w:ascii="Arial" w:hAnsi="Arial" w:cs="Arial"/>
          <w:b/>
          <w:sz w:val="24"/>
          <w:szCs w:val="24"/>
        </w:rPr>
        <w:t>2007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, il </w:t>
      </w:r>
      <w:r w:rsidR="00590424" w:rsidRPr="00831716">
        <w:rPr>
          <w:rFonts w:ascii="Arial" w:hAnsi="Arial" w:cs="Arial"/>
          <w:b/>
          <w:sz w:val="24"/>
          <w:szCs w:val="24"/>
        </w:rPr>
        <w:t>reddito professionale netto medio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 è aumentato del </w:t>
      </w:r>
      <w:r w:rsidR="00590424" w:rsidRPr="00831716">
        <w:rPr>
          <w:rFonts w:ascii="Arial" w:hAnsi="Arial" w:cs="Arial"/>
          <w:b/>
          <w:sz w:val="24"/>
          <w:szCs w:val="24"/>
        </w:rPr>
        <w:t>4,1%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, mentre in termini reali, cioè </w:t>
      </w:r>
      <w:r w:rsidR="00590424" w:rsidRPr="00831716">
        <w:rPr>
          <w:rFonts w:ascii="Arial" w:hAnsi="Arial" w:cs="Arial"/>
          <w:b/>
          <w:sz w:val="24"/>
          <w:szCs w:val="24"/>
        </w:rPr>
        <w:t>al netto dell’inflazione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, è </w:t>
      </w:r>
      <w:r w:rsidR="00590424" w:rsidRPr="00831716">
        <w:rPr>
          <w:rFonts w:ascii="Arial" w:hAnsi="Arial" w:cs="Arial"/>
          <w:b/>
          <w:sz w:val="24"/>
          <w:szCs w:val="24"/>
        </w:rPr>
        <w:t>diminuito del 10,4%.</w:t>
      </w:r>
      <w:r w:rsidR="00590424" w:rsidRPr="00831716">
        <w:rPr>
          <w:rFonts w:ascii="Arial" w:hAnsi="Arial" w:cs="Arial"/>
          <w:bCs/>
          <w:sz w:val="24"/>
          <w:szCs w:val="24"/>
        </w:rPr>
        <w:t xml:space="preserve"> </w:t>
      </w:r>
      <w:r w:rsidR="00021CDE" w:rsidRPr="00831716">
        <w:rPr>
          <w:rFonts w:ascii="Arial" w:hAnsi="Arial" w:cs="Arial"/>
          <w:sz w:val="24"/>
          <w:szCs w:val="24"/>
        </w:rPr>
        <w:t>È</w:t>
      </w:r>
      <w:r w:rsidR="00196FE7" w:rsidRPr="00831716">
        <w:rPr>
          <w:rFonts w:ascii="Arial" w:hAnsi="Arial" w:cs="Arial"/>
          <w:sz w:val="24"/>
          <w:szCs w:val="24"/>
        </w:rPr>
        <w:t xml:space="preserve"> la radiografia della categoria che emerge dal Rapporto annuale sulla professione </w:t>
      </w:r>
      <w:r w:rsidR="007D4241" w:rsidRPr="00831716">
        <w:rPr>
          <w:rFonts w:ascii="Arial" w:hAnsi="Arial" w:cs="Arial"/>
          <w:sz w:val="24"/>
          <w:szCs w:val="24"/>
        </w:rPr>
        <w:t xml:space="preserve">realizzato dalla </w:t>
      </w:r>
      <w:r w:rsidR="007D4241" w:rsidRPr="00831716">
        <w:rPr>
          <w:rFonts w:ascii="Arial" w:hAnsi="Arial" w:cs="Arial"/>
          <w:b/>
          <w:bCs/>
          <w:sz w:val="24"/>
          <w:szCs w:val="24"/>
        </w:rPr>
        <w:t xml:space="preserve">Fondazione nazionale dei commercialisti. </w:t>
      </w:r>
    </w:p>
    <w:p w14:paraId="724E3D34" w14:textId="77777777" w:rsidR="00AC417E" w:rsidRPr="00831716" w:rsidRDefault="00AC417E" w:rsidP="00A251D5">
      <w:pPr>
        <w:jc w:val="both"/>
        <w:rPr>
          <w:rFonts w:ascii="Arial" w:hAnsi="Arial" w:cs="Arial"/>
          <w:sz w:val="24"/>
          <w:szCs w:val="24"/>
        </w:rPr>
      </w:pPr>
    </w:p>
    <w:p w14:paraId="12C85BF4" w14:textId="54AD3F2E" w:rsidR="00AC417E" w:rsidRPr="00831716" w:rsidRDefault="00E6774B" w:rsidP="00AC41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 xml:space="preserve">I REDDITI </w:t>
      </w:r>
    </w:p>
    <w:p w14:paraId="744375DE" w14:textId="3B0E8CE1" w:rsidR="00AC417E" w:rsidRPr="00831716" w:rsidRDefault="00AC417E" w:rsidP="00AC41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Cs/>
          <w:sz w:val="24"/>
          <w:szCs w:val="24"/>
        </w:rPr>
        <w:t xml:space="preserve">Il reddito professionale netto medio dei </w:t>
      </w:r>
      <w:r w:rsidR="00FE7036" w:rsidRPr="00831716">
        <w:rPr>
          <w:rFonts w:ascii="Arial" w:hAnsi="Arial" w:cs="Arial"/>
          <w:bCs/>
          <w:sz w:val="24"/>
          <w:szCs w:val="24"/>
        </w:rPr>
        <w:t>c</w:t>
      </w:r>
      <w:r w:rsidRPr="00831716">
        <w:rPr>
          <w:rFonts w:ascii="Arial" w:hAnsi="Arial" w:cs="Arial"/>
          <w:bCs/>
          <w:sz w:val="24"/>
          <w:szCs w:val="24"/>
        </w:rPr>
        <w:t>ommercialisti nel 2021 è aumentato nonostante la pandemia. Il tasso di crescita annuale è stato dell’</w:t>
      </w:r>
      <w:r w:rsidRPr="00831716">
        <w:rPr>
          <w:rFonts w:ascii="Arial" w:hAnsi="Arial" w:cs="Arial"/>
          <w:b/>
          <w:sz w:val="24"/>
          <w:szCs w:val="24"/>
        </w:rPr>
        <w:t xml:space="preserve">1,1% </w:t>
      </w:r>
      <w:r w:rsidRPr="00831716">
        <w:rPr>
          <w:rFonts w:ascii="Arial" w:hAnsi="Arial" w:cs="Arial"/>
          <w:bCs/>
          <w:sz w:val="24"/>
          <w:szCs w:val="24"/>
        </w:rPr>
        <w:t xml:space="preserve">e il valore medio si è portato a </w:t>
      </w:r>
      <w:r w:rsidRPr="00831716">
        <w:rPr>
          <w:rFonts w:ascii="Arial" w:hAnsi="Arial" w:cs="Arial"/>
          <w:b/>
          <w:sz w:val="24"/>
          <w:szCs w:val="24"/>
        </w:rPr>
        <w:t>62.282 euro</w:t>
      </w:r>
      <w:r w:rsidRPr="00831716">
        <w:rPr>
          <w:rFonts w:ascii="Arial" w:hAnsi="Arial" w:cs="Arial"/>
          <w:bCs/>
          <w:sz w:val="24"/>
          <w:szCs w:val="24"/>
        </w:rPr>
        <w:t xml:space="preserve">. Il </w:t>
      </w:r>
      <w:r w:rsidRPr="00831716">
        <w:rPr>
          <w:rFonts w:ascii="Arial" w:hAnsi="Arial" w:cs="Arial"/>
          <w:b/>
          <w:sz w:val="24"/>
          <w:szCs w:val="24"/>
        </w:rPr>
        <w:t>reddito mediano</w:t>
      </w:r>
      <w:r w:rsidRPr="00831716">
        <w:rPr>
          <w:rFonts w:ascii="Arial" w:hAnsi="Arial" w:cs="Arial"/>
          <w:bCs/>
          <w:sz w:val="24"/>
          <w:szCs w:val="24"/>
        </w:rPr>
        <w:t xml:space="preserve">, invece, è cresciuto dello </w:t>
      </w:r>
      <w:r w:rsidRPr="00831716">
        <w:rPr>
          <w:rFonts w:ascii="Arial" w:hAnsi="Arial" w:cs="Arial"/>
          <w:b/>
          <w:sz w:val="24"/>
          <w:szCs w:val="24"/>
        </w:rPr>
        <w:t xml:space="preserve">0,8% </w:t>
      </w:r>
      <w:r w:rsidRPr="00831716">
        <w:rPr>
          <w:rFonts w:ascii="Arial" w:hAnsi="Arial" w:cs="Arial"/>
          <w:bCs/>
          <w:sz w:val="24"/>
          <w:szCs w:val="24"/>
        </w:rPr>
        <w:t xml:space="preserve">portandosi a </w:t>
      </w:r>
      <w:r w:rsidRPr="00831716">
        <w:rPr>
          <w:rFonts w:ascii="Arial" w:hAnsi="Arial" w:cs="Arial"/>
          <w:b/>
          <w:sz w:val="24"/>
          <w:szCs w:val="24"/>
        </w:rPr>
        <w:t>35.530 euro</w:t>
      </w:r>
      <w:r w:rsidRPr="00831716">
        <w:rPr>
          <w:rFonts w:ascii="Arial" w:hAnsi="Arial" w:cs="Arial"/>
          <w:bCs/>
          <w:sz w:val="24"/>
          <w:szCs w:val="24"/>
        </w:rPr>
        <w:t xml:space="preserve"> pari al 57% di quello medio e perdendo terreno</w:t>
      </w:r>
      <w:r w:rsidR="00021CDE" w:rsidRPr="00831716">
        <w:rPr>
          <w:rFonts w:ascii="Arial" w:hAnsi="Arial" w:cs="Arial"/>
          <w:bCs/>
          <w:sz w:val="24"/>
          <w:szCs w:val="24"/>
        </w:rPr>
        <w:t xml:space="preserve"> </w:t>
      </w:r>
      <w:r w:rsidRPr="00831716">
        <w:rPr>
          <w:rFonts w:ascii="Arial" w:hAnsi="Arial" w:cs="Arial"/>
          <w:bCs/>
          <w:sz w:val="24"/>
          <w:szCs w:val="24"/>
        </w:rPr>
        <w:t>rispetto al 57,6% di un anno prima. Il reddito medio cresce a Sud (+2,1%), mentre cala a Nord (-0,1%)</w:t>
      </w:r>
      <w:r w:rsidR="00021CDE" w:rsidRPr="00831716">
        <w:rPr>
          <w:rFonts w:ascii="Arial" w:hAnsi="Arial" w:cs="Arial"/>
          <w:bCs/>
          <w:sz w:val="24"/>
          <w:szCs w:val="24"/>
        </w:rPr>
        <w:t>. A</w:t>
      </w:r>
      <w:r w:rsidRPr="00831716">
        <w:rPr>
          <w:rFonts w:ascii="Arial" w:hAnsi="Arial" w:cs="Arial"/>
          <w:bCs/>
          <w:sz w:val="24"/>
          <w:szCs w:val="24"/>
        </w:rPr>
        <w:t>nche il reddito mediano</w:t>
      </w:r>
      <w:r w:rsidR="00701071" w:rsidRPr="00831716">
        <w:rPr>
          <w:rFonts w:ascii="Arial" w:hAnsi="Arial" w:cs="Arial"/>
          <w:bCs/>
          <w:sz w:val="24"/>
          <w:szCs w:val="24"/>
        </w:rPr>
        <w:t xml:space="preserve"> </w:t>
      </w:r>
      <w:r w:rsidRPr="00831716">
        <w:rPr>
          <w:rFonts w:ascii="Arial" w:hAnsi="Arial" w:cs="Arial"/>
          <w:bCs/>
          <w:sz w:val="24"/>
          <w:szCs w:val="24"/>
        </w:rPr>
        <w:t xml:space="preserve">cresce al Sud (+1,8%) e cala, invece, al Nord (-0,6%). </w:t>
      </w:r>
    </w:p>
    <w:p w14:paraId="5FFFD2B6" w14:textId="79FC4DBF" w:rsidR="00AC417E" w:rsidRPr="00831716" w:rsidRDefault="00AC417E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3EE013" w14:textId="7B4B7F47" w:rsidR="007002E9" w:rsidRPr="00831716" w:rsidRDefault="00E6774B" w:rsidP="005356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>DONNE E GIOVANI</w:t>
      </w:r>
    </w:p>
    <w:p w14:paraId="2AE8FCB5" w14:textId="71F753FB" w:rsidR="005356F6" w:rsidRPr="00831716" w:rsidRDefault="007002E9" w:rsidP="005356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sz w:val="24"/>
          <w:szCs w:val="24"/>
        </w:rPr>
        <w:t xml:space="preserve">Nel 2021 le </w:t>
      </w:r>
      <w:r w:rsidRPr="00831716">
        <w:rPr>
          <w:rFonts w:ascii="Arial" w:hAnsi="Arial" w:cs="Arial"/>
          <w:b/>
          <w:bCs/>
          <w:sz w:val="24"/>
          <w:szCs w:val="24"/>
        </w:rPr>
        <w:t>donne</w:t>
      </w:r>
      <w:r w:rsidRPr="00831716">
        <w:rPr>
          <w:rFonts w:ascii="Arial" w:hAnsi="Arial" w:cs="Arial"/>
          <w:sz w:val="24"/>
          <w:szCs w:val="24"/>
        </w:rPr>
        <w:t xml:space="preserve"> sono state il </w:t>
      </w:r>
      <w:r w:rsidRPr="00831716">
        <w:rPr>
          <w:rFonts w:ascii="Arial" w:hAnsi="Arial" w:cs="Arial"/>
          <w:b/>
          <w:bCs/>
          <w:sz w:val="24"/>
          <w:szCs w:val="24"/>
        </w:rPr>
        <w:t>34,7%</w:t>
      </w:r>
      <w:r w:rsidRPr="00831716">
        <w:rPr>
          <w:rFonts w:ascii="Arial" w:hAnsi="Arial" w:cs="Arial"/>
          <w:sz w:val="24"/>
          <w:szCs w:val="24"/>
        </w:rPr>
        <w:t xml:space="preserve"> del totale</w:t>
      </w:r>
      <w:r w:rsidR="00701071" w:rsidRPr="00831716">
        <w:rPr>
          <w:rFonts w:ascii="Arial" w:hAnsi="Arial" w:cs="Arial"/>
          <w:sz w:val="24"/>
          <w:szCs w:val="24"/>
        </w:rPr>
        <w:t xml:space="preserve"> degli iscritti</w:t>
      </w:r>
      <w:r w:rsidRPr="00831716">
        <w:rPr>
          <w:rFonts w:ascii="Arial" w:hAnsi="Arial" w:cs="Arial"/>
          <w:sz w:val="24"/>
          <w:szCs w:val="24"/>
        </w:rPr>
        <w:t xml:space="preserve">, </w:t>
      </w:r>
      <w:r w:rsidRPr="00831716">
        <w:rPr>
          <w:rFonts w:ascii="Arial" w:hAnsi="Arial" w:cs="Arial"/>
          <w:b/>
          <w:sz w:val="24"/>
          <w:szCs w:val="24"/>
        </w:rPr>
        <w:t xml:space="preserve">mentre i giovani (under  40) </w:t>
      </w:r>
      <w:r w:rsidRPr="00831716">
        <w:rPr>
          <w:rFonts w:ascii="Arial" w:hAnsi="Arial" w:cs="Arial"/>
          <w:bCs/>
          <w:sz w:val="24"/>
          <w:szCs w:val="24"/>
        </w:rPr>
        <w:t xml:space="preserve">sono pari al </w:t>
      </w:r>
      <w:r w:rsidRPr="00831716">
        <w:rPr>
          <w:rFonts w:ascii="Arial" w:hAnsi="Arial" w:cs="Arial"/>
          <w:b/>
          <w:sz w:val="24"/>
          <w:szCs w:val="24"/>
        </w:rPr>
        <w:t xml:space="preserve">17,6%. </w:t>
      </w:r>
      <w:r w:rsidRPr="00831716">
        <w:rPr>
          <w:rFonts w:ascii="Arial" w:hAnsi="Arial" w:cs="Arial"/>
          <w:bCs/>
          <w:sz w:val="24"/>
          <w:szCs w:val="24"/>
        </w:rPr>
        <w:t>La</w:t>
      </w:r>
      <w:r w:rsidRPr="00831716">
        <w:rPr>
          <w:rFonts w:ascii="Arial" w:hAnsi="Arial" w:cs="Arial"/>
          <w:b/>
          <w:sz w:val="24"/>
          <w:szCs w:val="24"/>
        </w:rPr>
        <w:t xml:space="preserve"> </w:t>
      </w:r>
      <w:r w:rsidR="005356F6" w:rsidRPr="00831716">
        <w:rPr>
          <w:rFonts w:ascii="Arial" w:hAnsi="Arial" w:cs="Arial"/>
          <w:sz w:val="24"/>
          <w:szCs w:val="24"/>
        </w:rPr>
        <w:t xml:space="preserve">presenza di donne negli Ordini territoriali dei </w:t>
      </w:r>
      <w:r w:rsidR="00FE7036" w:rsidRPr="00831716">
        <w:rPr>
          <w:rFonts w:ascii="Arial" w:hAnsi="Arial" w:cs="Arial"/>
          <w:sz w:val="24"/>
          <w:szCs w:val="24"/>
        </w:rPr>
        <w:t>c</w:t>
      </w:r>
      <w:r w:rsidR="005356F6" w:rsidRPr="00831716">
        <w:rPr>
          <w:rFonts w:ascii="Arial" w:hAnsi="Arial" w:cs="Arial"/>
          <w:sz w:val="24"/>
          <w:szCs w:val="24"/>
        </w:rPr>
        <w:t xml:space="preserve">ommercialisti è piuttosto variabile e tende ad essere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più elevata negli Ordini del Nord</w:t>
      </w:r>
      <w:r w:rsidR="005356F6" w:rsidRPr="00831716">
        <w:rPr>
          <w:rFonts w:ascii="Arial" w:hAnsi="Arial" w:cs="Arial"/>
          <w:sz w:val="24"/>
          <w:szCs w:val="24"/>
        </w:rPr>
        <w:t xml:space="preserve">. In particolare, nel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Nord-est raggiunge il 38,1%</w:t>
      </w:r>
      <w:r w:rsidR="005356F6" w:rsidRPr="00831716">
        <w:rPr>
          <w:rFonts w:ascii="Arial" w:hAnsi="Arial" w:cs="Arial"/>
          <w:sz w:val="24"/>
          <w:szCs w:val="24"/>
        </w:rPr>
        <w:t xml:space="preserve"> con una punta del 42,6% in Emilia-Romagna. Nel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Sud</w:t>
      </w:r>
      <w:r w:rsidR="005356F6" w:rsidRPr="00831716">
        <w:rPr>
          <w:rFonts w:ascii="Arial" w:hAnsi="Arial" w:cs="Arial"/>
          <w:sz w:val="24"/>
          <w:szCs w:val="24"/>
        </w:rPr>
        <w:t xml:space="preserve"> la quota di donne scende al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31,5%</w:t>
      </w:r>
      <w:r w:rsidR="005356F6" w:rsidRPr="00831716">
        <w:rPr>
          <w:rFonts w:ascii="Arial" w:hAnsi="Arial" w:cs="Arial"/>
          <w:sz w:val="24"/>
          <w:szCs w:val="24"/>
        </w:rPr>
        <w:t xml:space="preserve"> con il valore più basso in Campania (27,4%). Analogamente, anche per i giovani, nel Nord, si registrano livelli più elevati (20,6%) rispetto al Sud (14,9%). Da segnalare come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la quota di donne continui ad aumentare di anno in anno (+1,4%),</w:t>
      </w:r>
      <w:r w:rsidR="005356F6" w:rsidRPr="00831716">
        <w:rPr>
          <w:rFonts w:ascii="Arial" w:hAnsi="Arial" w:cs="Arial"/>
          <w:sz w:val="24"/>
          <w:szCs w:val="24"/>
        </w:rPr>
        <w:t xml:space="preserve"> mentre quella dei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giovan</w:t>
      </w:r>
      <w:r w:rsidR="005356F6" w:rsidRPr="00831716">
        <w:rPr>
          <w:rFonts w:ascii="Arial" w:hAnsi="Arial" w:cs="Arial"/>
          <w:sz w:val="24"/>
          <w:szCs w:val="24"/>
        </w:rPr>
        <w:t xml:space="preserve">i tende a </w:t>
      </w:r>
      <w:r w:rsidR="005356F6" w:rsidRPr="00831716">
        <w:rPr>
          <w:rFonts w:ascii="Arial" w:hAnsi="Arial" w:cs="Arial"/>
          <w:b/>
          <w:bCs/>
          <w:sz w:val="24"/>
          <w:szCs w:val="24"/>
        </w:rPr>
        <w:t>diminuire progressivamente</w:t>
      </w:r>
      <w:r w:rsidR="005356F6" w:rsidRPr="00831716">
        <w:rPr>
          <w:rFonts w:ascii="Arial" w:hAnsi="Arial" w:cs="Arial"/>
          <w:sz w:val="24"/>
          <w:szCs w:val="24"/>
        </w:rPr>
        <w:t xml:space="preserve">. </w:t>
      </w:r>
    </w:p>
    <w:p w14:paraId="24C7A01F" w14:textId="77777777" w:rsidR="005356F6" w:rsidRPr="00831716" w:rsidRDefault="005356F6" w:rsidP="00A251D5">
      <w:pPr>
        <w:jc w:val="both"/>
        <w:rPr>
          <w:rFonts w:ascii="Arial" w:hAnsi="Arial" w:cs="Arial"/>
          <w:sz w:val="24"/>
          <w:szCs w:val="24"/>
        </w:rPr>
      </w:pPr>
    </w:p>
    <w:p w14:paraId="06F8FA36" w14:textId="755B87F4" w:rsidR="007D4241" w:rsidRPr="00831716" w:rsidRDefault="00E6774B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 xml:space="preserve">GLI ABILITATI ALL’ESAME DI STATO  </w:t>
      </w:r>
    </w:p>
    <w:p w14:paraId="493B425A" w14:textId="560F6C19" w:rsidR="00A251D5" w:rsidRPr="00831716" w:rsidRDefault="007D4241" w:rsidP="00A251D5">
      <w:pPr>
        <w:jc w:val="both"/>
        <w:rPr>
          <w:rFonts w:ascii="Arial" w:hAnsi="Arial" w:cs="Arial"/>
          <w:sz w:val="24"/>
          <w:szCs w:val="24"/>
        </w:rPr>
      </w:pPr>
      <w:r w:rsidRPr="00831716">
        <w:rPr>
          <w:rFonts w:ascii="Arial" w:hAnsi="Arial" w:cs="Arial"/>
          <w:sz w:val="24"/>
          <w:szCs w:val="24"/>
        </w:rPr>
        <w:t>Secondo la Fondazione, questi</w:t>
      </w:r>
      <w:r w:rsidR="00A251D5" w:rsidRPr="00831716">
        <w:rPr>
          <w:rFonts w:ascii="Arial" w:hAnsi="Arial" w:cs="Arial"/>
          <w:sz w:val="24"/>
          <w:szCs w:val="24"/>
        </w:rPr>
        <w:t xml:space="preserve"> dati confermano il carattere anticiclico della professione di </w:t>
      </w:r>
      <w:r w:rsidR="00FE7036" w:rsidRPr="00831716">
        <w:rPr>
          <w:rFonts w:ascii="Arial" w:hAnsi="Arial" w:cs="Arial"/>
          <w:sz w:val="24"/>
          <w:szCs w:val="24"/>
        </w:rPr>
        <w:t>c</w:t>
      </w:r>
      <w:r w:rsidR="00A251D5" w:rsidRPr="00831716">
        <w:rPr>
          <w:rFonts w:ascii="Arial" w:hAnsi="Arial" w:cs="Arial"/>
          <w:sz w:val="24"/>
          <w:szCs w:val="24"/>
        </w:rPr>
        <w:t xml:space="preserve">ommercialista. </w:t>
      </w:r>
      <w:r w:rsidRPr="00831716">
        <w:rPr>
          <w:rFonts w:ascii="Arial" w:hAnsi="Arial" w:cs="Arial"/>
          <w:sz w:val="24"/>
          <w:szCs w:val="24"/>
        </w:rPr>
        <w:t xml:space="preserve">Nei </w:t>
      </w:r>
      <w:r w:rsidR="00A251D5" w:rsidRPr="00831716">
        <w:rPr>
          <w:rFonts w:ascii="Arial" w:hAnsi="Arial" w:cs="Arial"/>
          <w:sz w:val="24"/>
          <w:szCs w:val="24"/>
        </w:rPr>
        <w:t xml:space="preserve">momenti di crisi, i </w:t>
      </w:r>
      <w:r w:rsidR="00FE7036" w:rsidRPr="00831716">
        <w:rPr>
          <w:rFonts w:ascii="Arial" w:hAnsi="Arial" w:cs="Arial"/>
          <w:sz w:val="24"/>
          <w:szCs w:val="24"/>
        </w:rPr>
        <w:t>c</w:t>
      </w:r>
      <w:r w:rsidR="00A251D5" w:rsidRPr="00831716">
        <w:rPr>
          <w:rFonts w:ascii="Arial" w:hAnsi="Arial" w:cs="Arial"/>
          <w:sz w:val="24"/>
          <w:szCs w:val="24"/>
        </w:rPr>
        <w:t>ommercialisti sono chiamati ad uno sforzo maggiore. E durante la pandemia questo sforzo è stato eccezionale.</w:t>
      </w:r>
      <w:r w:rsidRPr="00831716">
        <w:rPr>
          <w:rFonts w:ascii="Arial" w:hAnsi="Arial" w:cs="Arial"/>
          <w:sz w:val="24"/>
          <w:szCs w:val="24"/>
        </w:rPr>
        <w:t xml:space="preserve"> Ciononostante</w:t>
      </w:r>
      <w:r w:rsidR="00A251D5" w:rsidRPr="00831716">
        <w:rPr>
          <w:rFonts w:ascii="Arial" w:hAnsi="Arial" w:cs="Arial"/>
          <w:sz w:val="24"/>
          <w:szCs w:val="24"/>
        </w:rPr>
        <w:t xml:space="preserve">, il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trend generale</w:t>
      </w:r>
      <w:r w:rsidR="00A251D5" w:rsidRPr="00831716">
        <w:rPr>
          <w:rFonts w:ascii="Arial" w:hAnsi="Arial" w:cs="Arial"/>
          <w:sz w:val="24"/>
          <w:szCs w:val="24"/>
        </w:rPr>
        <w:t xml:space="preserve"> </w:t>
      </w:r>
      <w:r w:rsidR="00A251D5" w:rsidRPr="00831716">
        <w:rPr>
          <w:rFonts w:ascii="Arial" w:hAnsi="Arial" w:cs="Arial"/>
          <w:sz w:val="24"/>
          <w:szCs w:val="24"/>
        </w:rPr>
        <w:lastRenderedPageBreak/>
        <w:t xml:space="preserve">è verso un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rallentamento della crescita</w:t>
      </w:r>
      <w:r w:rsidR="00A251D5" w:rsidRPr="00831716">
        <w:rPr>
          <w:rFonts w:ascii="Arial" w:hAnsi="Arial" w:cs="Arial"/>
          <w:sz w:val="24"/>
          <w:szCs w:val="24"/>
        </w:rPr>
        <w:t xml:space="preserve"> che, </w:t>
      </w:r>
      <w:r w:rsidRPr="00831716">
        <w:rPr>
          <w:rFonts w:ascii="Arial" w:hAnsi="Arial" w:cs="Arial"/>
          <w:sz w:val="24"/>
          <w:szCs w:val="24"/>
        </w:rPr>
        <w:t xml:space="preserve">la Fondazione nazionale non </w:t>
      </w:r>
      <w:proofErr w:type="gramStart"/>
      <w:r w:rsidRPr="00831716">
        <w:rPr>
          <w:rFonts w:ascii="Arial" w:hAnsi="Arial" w:cs="Arial"/>
          <w:sz w:val="24"/>
          <w:szCs w:val="24"/>
        </w:rPr>
        <w:t xml:space="preserve">esclude </w:t>
      </w:r>
      <w:r w:rsidR="00A251D5" w:rsidRPr="00831716">
        <w:rPr>
          <w:rFonts w:ascii="Arial" w:hAnsi="Arial" w:cs="Arial"/>
          <w:sz w:val="24"/>
          <w:szCs w:val="24"/>
        </w:rPr>
        <w:t xml:space="preserve"> nei</w:t>
      </w:r>
      <w:proofErr w:type="gramEnd"/>
      <w:r w:rsidR="00A251D5" w:rsidRPr="00831716">
        <w:rPr>
          <w:rFonts w:ascii="Arial" w:hAnsi="Arial" w:cs="Arial"/>
          <w:sz w:val="24"/>
          <w:szCs w:val="24"/>
        </w:rPr>
        <w:t xml:space="preserve"> prossimi anni possa tradursi in un </w:t>
      </w:r>
      <w:r w:rsidR="00A251D5" w:rsidRPr="00831716">
        <w:rPr>
          <w:rFonts w:ascii="Arial" w:hAnsi="Arial" w:cs="Arial"/>
          <w:b/>
          <w:bCs/>
          <w:sz w:val="24"/>
          <w:szCs w:val="24"/>
        </w:rPr>
        <w:t>tasso negativo</w:t>
      </w:r>
      <w:r w:rsidR="00A251D5" w:rsidRPr="00831716">
        <w:rPr>
          <w:rFonts w:ascii="Arial" w:hAnsi="Arial" w:cs="Arial"/>
          <w:sz w:val="24"/>
          <w:szCs w:val="24"/>
        </w:rPr>
        <w:t xml:space="preserve">. </w:t>
      </w:r>
    </w:p>
    <w:p w14:paraId="57293DDB" w14:textId="77777777" w:rsidR="007D4241" w:rsidRPr="00831716" w:rsidRDefault="007D4241" w:rsidP="00A251D5">
      <w:pPr>
        <w:jc w:val="both"/>
        <w:rPr>
          <w:rFonts w:ascii="Arial" w:hAnsi="Arial" w:cs="Arial"/>
          <w:sz w:val="24"/>
          <w:szCs w:val="24"/>
        </w:rPr>
      </w:pPr>
    </w:p>
    <w:p w14:paraId="5CA8878E" w14:textId="7076C9B4" w:rsidR="00A251D5" w:rsidRPr="00831716" w:rsidRDefault="00A251D5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sz w:val="24"/>
          <w:szCs w:val="24"/>
        </w:rPr>
        <w:t xml:space="preserve">Il dato più allarmante riguarda gli </w:t>
      </w:r>
      <w:r w:rsidRPr="00831716">
        <w:rPr>
          <w:rFonts w:ascii="Arial" w:hAnsi="Arial" w:cs="Arial"/>
          <w:b/>
          <w:bCs/>
          <w:sz w:val="24"/>
          <w:szCs w:val="24"/>
        </w:rPr>
        <w:t>abilitati all’esame di stato</w:t>
      </w:r>
      <w:r w:rsidRPr="00831716">
        <w:rPr>
          <w:rFonts w:ascii="Arial" w:hAnsi="Arial" w:cs="Arial"/>
          <w:sz w:val="24"/>
          <w:szCs w:val="24"/>
        </w:rPr>
        <w:t xml:space="preserve"> di dottore commercialista e di esperto contabile: -</w:t>
      </w:r>
      <w:r w:rsidRPr="00831716">
        <w:rPr>
          <w:rFonts w:ascii="Arial" w:hAnsi="Arial" w:cs="Arial"/>
          <w:b/>
          <w:bCs/>
          <w:sz w:val="24"/>
          <w:szCs w:val="24"/>
        </w:rPr>
        <w:t>61% dal 2008 al 2019</w:t>
      </w:r>
      <w:r w:rsidR="00E6774B" w:rsidRPr="0083171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31716">
        <w:rPr>
          <w:rFonts w:ascii="Arial" w:hAnsi="Arial" w:cs="Arial"/>
          <w:b/>
          <w:bCs/>
          <w:sz w:val="24"/>
          <w:szCs w:val="24"/>
        </w:rPr>
        <w:t>da 4.309 a 1.692</w:t>
      </w:r>
      <w:r w:rsidRPr="00831716">
        <w:rPr>
          <w:rFonts w:ascii="Arial" w:hAnsi="Arial" w:cs="Arial"/>
          <w:sz w:val="24"/>
          <w:szCs w:val="24"/>
        </w:rPr>
        <w:t xml:space="preserve">. </w:t>
      </w:r>
      <w:r w:rsidR="007D4241" w:rsidRPr="00831716">
        <w:rPr>
          <w:rFonts w:ascii="Arial" w:hAnsi="Arial" w:cs="Arial"/>
          <w:sz w:val="24"/>
          <w:szCs w:val="24"/>
        </w:rPr>
        <w:t xml:space="preserve"> Si tratta di </w:t>
      </w:r>
      <w:r w:rsidRPr="00831716">
        <w:rPr>
          <w:rFonts w:ascii="Arial" w:hAnsi="Arial" w:cs="Arial"/>
          <w:sz w:val="24"/>
          <w:szCs w:val="24"/>
        </w:rPr>
        <w:t xml:space="preserve">un dato direttamente collegato al </w:t>
      </w:r>
      <w:r w:rsidRPr="00831716">
        <w:rPr>
          <w:rFonts w:ascii="Arial" w:hAnsi="Arial" w:cs="Arial"/>
          <w:b/>
          <w:bCs/>
          <w:sz w:val="24"/>
          <w:szCs w:val="24"/>
        </w:rPr>
        <w:t>calo dei praticanti</w:t>
      </w:r>
      <w:r w:rsidRPr="00831716">
        <w:rPr>
          <w:rFonts w:ascii="Arial" w:hAnsi="Arial" w:cs="Arial"/>
          <w:sz w:val="24"/>
          <w:szCs w:val="24"/>
        </w:rPr>
        <w:t xml:space="preserve"> in atto da molto tempo. Al netto di una leggera ripresa negli ultimi due anni, i praticanti si sono </w:t>
      </w:r>
      <w:r w:rsidRPr="00831716">
        <w:rPr>
          <w:rFonts w:ascii="Arial" w:hAnsi="Arial" w:cs="Arial"/>
          <w:b/>
          <w:bCs/>
          <w:sz w:val="24"/>
          <w:szCs w:val="24"/>
        </w:rPr>
        <w:t>quasi dimezzati dal 2009 al 2019</w:t>
      </w:r>
      <w:r w:rsidRPr="00831716">
        <w:rPr>
          <w:rFonts w:ascii="Arial" w:hAnsi="Arial" w:cs="Arial"/>
          <w:sz w:val="24"/>
          <w:szCs w:val="24"/>
        </w:rPr>
        <w:t xml:space="preserve">: da circa 2 praticanti e mezzo per ogni 10 iscritti a un praticante per ogni 10 iscritti. Del resto, la </w:t>
      </w:r>
      <w:r w:rsidRPr="00831716">
        <w:rPr>
          <w:rFonts w:ascii="Arial" w:hAnsi="Arial" w:cs="Arial"/>
          <w:b/>
          <w:bCs/>
          <w:sz w:val="24"/>
          <w:szCs w:val="24"/>
        </w:rPr>
        <w:t>dinamica del mercato</w:t>
      </w:r>
      <w:r w:rsidRPr="00831716">
        <w:rPr>
          <w:rFonts w:ascii="Arial" w:hAnsi="Arial" w:cs="Arial"/>
          <w:sz w:val="24"/>
          <w:szCs w:val="24"/>
        </w:rPr>
        <w:t xml:space="preserve"> continua </w:t>
      </w:r>
      <w:r w:rsidRPr="00831716">
        <w:rPr>
          <w:rFonts w:ascii="Arial" w:hAnsi="Arial" w:cs="Arial"/>
          <w:b/>
          <w:bCs/>
          <w:sz w:val="24"/>
          <w:szCs w:val="24"/>
        </w:rPr>
        <w:t xml:space="preserve">ad essere sfavorevole alla categoria dei </w:t>
      </w:r>
      <w:r w:rsidR="00FE7036" w:rsidRPr="00831716">
        <w:rPr>
          <w:rFonts w:ascii="Arial" w:hAnsi="Arial" w:cs="Arial"/>
          <w:b/>
          <w:bCs/>
          <w:sz w:val="24"/>
          <w:szCs w:val="24"/>
        </w:rPr>
        <w:t>c</w:t>
      </w:r>
      <w:r w:rsidRPr="00831716">
        <w:rPr>
          <w:rFonts w:ascii="Arial" w:hAnsi="Arial" w:cs="Arial"/>
          <w:b/>
          <w:bCs/>
          <w:sz w:val="24"/>
          <w:szCs w:val="24"/>
        </w:rPr>
        <w:t xml:space="preserve">ommercialisti. </w:t>
      </w:r>
    </w:p>
    <w:p w14:paraId="6C888EBD" w14:textId="77777777" w:rsidR="00FE7036" w:rsidRPr="00831716" w:rsidRDefault="00FE7036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2D7E5A" w14:textId="77777777" w:rsidR="00FE7036" w:rsidRPr="00831716" w:rsidRDefault="00FE7036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1716">
        <w:rPr>
          <w:rFonts w:ascii="Arial" w:hAnsi="Arial" w:cs="Arial"/>
          <w:b/>
          <w:bCs/>
          <w:sz w:val="24"/>
          <w:szCs w:val="24"/>
        </w:rPr>
        <w:t>IL RAPPORTO TRA ISCRITTI, POPOLAZIONE E IMPRESE</w:t>
      </w:r>
    </w:p>
    <w:p w14:paraId="713FF6DD" w14:textId="0A6D7BA7" w:rsidR="00A251D5" w:rsidRPr="00831716" w:rsidRDefault="00A251D5" w:rsidP="00A251D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1716">
        <w:rPr>
          <w:rFonts w:ascii="Arial" w:hAnsi="Arial" w:cs="Arial"/>
          <w:sz w:val="24"/>
          <w:szCs w:val="24"/>
        </w:rPr>
        <w:t>I trend</w:t>
      </w:r>
      <w:proofErr w:type="gramEnd"/>
      <w:r w:rsidRPr="00831716">
        <w:rPr>
          <w:rFonts w:ascii="Arial" w:hAnsi="Arial" w:cs="Arial"/>
          <w:sz w:val="24"/>
          <w:szCs w:val="24"/>
        </w:rPr>
        <w:t xml:space="preserve"> di lungo periodo, sintetizzati nel </w:t>
      </w:r>
      <w:r w:rsidRPr="00831716">
        <w:rPr>
          <w:rFonts w:ascii="Arial" w:hAnsi="Arial" w:cs="Arial"/>
          <w:b/>
          <w:bCs/>
          <w:sz w:val="24"/>
          <w:szCs w:val="24"/>
        </w:rPr>
        <w:t>rapporto tra la popolazione italiana e le imprese</w:t>
      </w:r>
      <w:r w:rsidRPr="00831716">
        <w:rPr>
          <w:rFonts w:ascii="Arial" w:hAnsi="Arial" w:cs="Arial"/>
          <w:sz w:val="24"/>
          <w:szCs w:val="24"/>
        </w:rPr>
        <w:t xml:space="preserve">, da un lato, e gli </w:t>
      </w:r>
      <w:r w:rsidRPr="00831716">
        <w:rPr>
          <w:rFonts w:ascii="Arial" w:hAnsi="Arial" w:cs="Arial"/>
          <w:b/>
          <w:bCs/>
          <w:sz w:val="24"/>
          <w:szCs w:val="24"/>
        </w:rPr>
        <w:t>iscritti all’albo</w:t>
      </w:r>
      <w:r w:rsidRPr="00831716">
        <w:rPr>
          <w:rFonts w:ascii="Arial" w:hAnsi="Arial" w:cs="Arial"/>
          <w:sz w:val="24"/>
          <w:szCs w:val="24"/>
        </w:rPr>
        <w:t xml:space="preserve">, dall’altro, si traducono in un </w:t>
      </w:r>
      <w:r w:rsidRPr="00831716">
        <w:rPr>
          <w:rFonts w:ascii="Arial" w:hAnsi="Arial" w:cs="Arial"/>
          <w:b/>
          <w:bCs/>
          <w:sz w:val="24"/>
          <w:szCs w:val="24"/>
        </w:rPr>
        <w:t>abbattimento drastico del mercato potenziale</w:t>
      </w:r>
      <w:r w:rsidRPr="00831716">
        <w:rPr>
          <w:rFonts w:ascii="Arial" w:hAnsi="Arial" w:cs="Arial"/>
          <w:sz w:val="24"/>
          <w:szCs w:val="24"/>
        </w:rPr>
        <w:t xml:space="preserve">. Il </w:t>
      </w:r>
      <w:r w:rsidRPr="00831716">
        <w:rPr>
          <w:rFonts w:ascii="Arial" w:hAnsi="Arial" w:cs="Arial"/>
          <w:b/>
          <w:bCs/>
          <w:sz w:val="24"/>
          <w:szCs w:val="24"/>
        </w:rPr>
        <w:t>rapporto</w:t>
      </w:r>
      <w:r w:rsidRPr="00831716">
        <w:rPr>
          <w:rFonts w:ascii="Arial" w:hAnsi="Arial" w:cs="Arial"/>
          <w:sz w:val="24"/>
          <w:szCs w:val="24"/>
        </w:rPr>
        <w:t xml:space="preserve"> teorico tra gli </w:t>
      </w:r>
      <w:r w:rsidRPr="00831716">
        <w:rPr>
          <w:rFonts w:ascii="Arial" w:hAnsi="Arial" w:cs="Arial"/>
          <w:b/>
          <w:bCs/>
          <w:sz w:val="24"/>
          <w:szCs w:val="24"/>
        </w:rPr>
        <w:t>abitanti e gli iscritti è passato da 549 del 2007 a 490 del 2021</w:t>
      </w:r>
      <w:r w:rsidRPr="00831716">
        <w:rPr>
          <w:rFonts w:ascii="Arial" w:hAnsi="Arial" w:cs="Arial"/>
          <w:sz w:val="24"/>
          <w:szCs w:val="24"/>
        </w:rPr>
        <w:t xml:space="preserve"> con una perdita secca di 59 abitanti per ogni Commercialista. L’altro rapporto, quello </w:t>
      </w:r>
      <w:r w:rsidR="007D4241" w:rsidRPr="00831716">
        <w:rPr>
          <w:rFonts w:ascii="Arial" w:hAnsi="Arial" w:cs="Arial"/>
          <w:sz w:val="24"/>
          <w:szCs w:val="24"/>
        </w:rPr>
        <w:t xml:space="preserve">con </w:t>
      </w:r>
      <w:r w:rsidRPr="00831716">
        <w:rPr>
          <w:rFonts w:ascii="Arial" w:hAnsi="Arial" w:cs="Arial"/>
          <w:sz w:val="24"/>
          <w:szCs w:val="24"/>
        </w:rPr>
        <w:t xml:space="preserve">le </w:t>
      </w:r>
      <w:r w:rsidRPr="00831716">
        <w:rPr>
          <w:rFonts w:ascii="Arial" w:hAnsi="Arial" w:cs="Arial"/>
          <w:b/>
          <w:bCs/>
          <w:sz w:val="24"/>
          <w:szCs w:val="24"/>
        </w:rPr>
        <w:t>imprese</w:t>
      </w:r>
      <w:r w:rsidRPr="00831716">
        <w:rPr>
          <w:rFonts w:ascii="Arial" w:hAnsi="Arial" w:cs="Arial"/>
          <w:sz w:val="24"/>
          <w:szCs w:val="24"/>
        </w:rPr>
        <w:t xml:space="preserve">, è passato, nello stesso periodo, da </w:t>
      </w:r>
      <w:r w:rsidRPr="00831716">
        <w:rPr>
          <w:rFonts w:ascii="Arial" w:hAnsi="Arial" w:cs="Arial"/>
          <w:b/>
          <w:bCs/>
          <w:sz w:val="24"/>
          <w:szCs w:val="24"/>
        </w:rPr>
        <w:t>48 a 43</w:t>
      </w:r>
      <w:r w:rsidRPr="00831716">
        <w:rPr>
          <w:rFonts w:ascii="Arial" w:hAnsi="Arial" w:cs="Arial"/>
          <w:sz w:val="24"/>
          <w:szCs w:val="24"/>
        </w:rPr>
        <w:t xml:space="preserve">, con un taglio di 5 unità per ognuno. Le conseguenze negative di questa analisi </w:t>
      </w:r>
      <w:r w:rsidR="007D4241" w:rsidRPr="00831716">
        <w:rPr>
          <w:rFonts w:ascii="Arial" w:hAnsi="Arial" w:cs="Arial"/>
          <w:sz w:val="24"/>
          <w:szCs w:val="24"/>
        </w:rPr>
        <w:t>si riflettono</w:t>
      </w:r>
      <w:r w:rsidRPr="00831716">
        <w:rPr>
          <w:rFonts w:ascii="Arial" w:hAnsi="Arial" w:cs="Arial"/>
          <w:sz w:val="24"/>
          <w:szCs w:val="24"/>
        </w:rPr>
        <w:t xml:space="preserve"> nell’andamento dei redditi medi professionali dal 2008 ad oggi. Al netto di una leggera ripresa negli ultimi anni, è evidente, infatti, il lungo deterioramento dei valori medi sia in termini nominale che, soprattutto, in termini reali e cioè al netto dell’inflazione. </w:t>
      </w:r>
    </w:p>
    <w:p w14:paraId="0811005A" w14:textId="0F4720E4" w:rsidR="00664A51" w:rsidRDefault="00664A51" w:rsidP="00A251D5">
      <w:pPr>
        <w:jc w:val="both"/>
        <w:rPr>
          <w:rFonts w:ascii="Arial" w:hAnsi="Arial" w:cs="Arial"/>
          <w:sz w:val="24"/>
          <w:szCs w:val="24"/>
        </w:rPr>
      </w:pPr>
    </w:p>
    <w:p w14:paraId="36C5740A" w14:textId="77777777" w:rsidR="00664A51" w:rsidRPr="009042DE" w:rsidRDefault="00664A51" w:rsidP="00A251D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1BCFDE" w14:textId="369C7503" w:rsidR="009F4AEE" w:rsidRPr="009042DE" w:rsidRDefault="009F4AEE" w:rsidP="009F4AEE">
      <w:pPr>
        <w:rPr>
          <w:rFonts w:ascii="Arial" w:eastAsia="Calibri" w:hAnsi="Arial" w:cs="Arial"/>
          <w:b/>
          <w:sz w:val="24"/>
          <w:szCs w:val="24"/>
        </w:rPr>
      </w:pPr>
      <w:r w:rsidRPr="009042DE">
        <w:rPr>
          <w:rFonts w:ascii="Arial" w:eastAsia="Calibri" w:hAnsi="Arial" w:cs="Arial"/>
          <w:b/>
          <w:sz w:val="24"/>
          <w:szCs w:val="24"/>
        </w:rPr>
        <w:t>Iscritti Albo e Iscritti Casse. Anni 2007-2021*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695"/>
        <w:gridCol w:w="1172"/>
        <w:gridCol w:w="883"/>
        <w:gridCol w:w="1251"/>
        <w:gridCol w:w="883"/>
      </w:tblGrid>
      <w:tr w:rsidR="009F4AEE" w:rsidRPr="009F1A76" w14:paraId="76223A52" w14:textId="77777777" w:rsidTr="008F2056">
        <w:trPr>
          <w:trHeight w:val="300"/>
        </w:trPr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13024A39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59E626A0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Iscritti Albo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6D64B19F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Tasso di</w:t>
            </w:r>
          </w:p>
          <w:p w14:paraId="4AFF175F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crescita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37308608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Iscritti Casse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5B92B7AC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Tasso di</w:t>
            </w:r>
          </w:p>
          <w:p w14:paraId="269D285D" w14:textId="77777777" w:rsidR="009F4AEE" w:rsidRPr="009F1A76" w:rsidRDefault="009F4AEE" w:rsidP="008F205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crescita</w:t>
            </w:r>
          </w:p>
        </w:tc>
      </w:tr>
      <w:tr w:rsidR="009F4AEE" w:rsidRPr="009F1A76" w14:paraId="5C973BFC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14:paraId="1A244105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7BDF1F93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107.499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9CB4489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--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4611189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78.929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18E9CE2C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  <w:tr w:rsidR="009F4AEE" w:rsidRPr="009F1A76" w14:paraId="1EC4E373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0E50FC2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A5DD1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109.474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DFAAF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6EAA9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81.038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51C2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2,7%</w:t>
            </w:r>
          </w:p>
        </w:tc>
      </w:tr>
      <w:tr w:rsidR="009F4AEE" w:rsidRPr="009F1A76" w14:paraId="5FF44E5E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14:paraId="025674D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49CE2411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110.787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44A7B9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1,2%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874316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82.905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C987604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2,3%</w:t>
            </w:r>
          </w:p>
        </w:tc>
      </w:tr>
      <w:tr w:rsidR="009F4AEE" w:rsidRPr="009F1A76" w14:paraId="4C89A28C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A6F60F6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79E06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112.164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63229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1,2%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F0A8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84.976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41A16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2,5%</w:t>
            </w:r>
          </w:p>
        </w:tc>
      </w:tr>
      <w:tr w:rsidR="009F4AEE" w:rsidRPr="009F1A76" w14:paraId="4EE04222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14:paraId="572DA58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D352A7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113.235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4BAB67C1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9B8445D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87.103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7D2350D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2,5%</w:t>
            </w:r>
          </w:p>
        </w:tc>
      </w:tr>
      <w:tr w:rsidR="009F4AEE" w:rsidRPr="009F1A76" w14:paraId="2AFFEB84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C55F4E3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0567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114.041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227A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87814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88.613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3708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1,7%</w:t>
            </w:r>
          </w:p>
        </w:tc>
      </w:tr>
      <w:tr w:rsidR="009F4AEE" w:rsidRPr="009F1A76" w14:paraId="2EEEE80D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36FAFB19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57FC73F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115.067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220B9B93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0,9%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25C082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89.970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FB1B163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1,5%</w:t>
            </w:r>
          </w:p>
        </w:tc>
      </w:tr>
      <w:tr w:rsidR="009F4AEE" w:rsidRPr="009F1A76" w14:paraId="2E699778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1E490055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E8CE6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116.245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05374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E8BBE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92.345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3C281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2,6%</w:t>
            </w:r>
          </w:p>
        </w:tc>
      </w:tr>
      <w:tr w:rsidR="009F4AEE" w:rsidRPr="009F1A76" w14:paraId="0E161E4D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23E4B0CF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175FC35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117.352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4FD6187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6375F6C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94.455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F89372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2,3%</w:t>
            </w:r>
          </w:p>
        </w:tc>
      </w:tr>
      <w:tr w:rsidR="009F4AEE" w:rsidRPr="009F1A76" w14:paraId="7D30C040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019533DD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3482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117.916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2DF39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A6CB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95.498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98E9D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1,1%</w:t>
            </w:r>
          </w:p>
        </w:tc>
      </w:tr>
      <w:tr w:rsidR="009F4AEE" w:rsidRPr="009F1A76" w14:paraId="791ACAE3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524C3F53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226388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118.333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1F538A0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0,4%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62E3197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96.198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D54CBC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0,7%</w:t>
            </w:r>
          </w:p>
        </w:tc>
      </w:tr>
      <w:tr w:rsidR="009F4AEE" w:rsidRPr="009F1A76" w14:paraId="28B463F7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13E663BF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D64D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118.639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2466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0,3%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39D0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97.328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C1DEA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1,2%</w:t>
            </w:r>
          </w:p>
        </w:tc>
      </w:tr>
      <w:tr w:rsidR="009F4AEE" w:rsidRPr="009F1A76" w14:paraId="722087B0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2B6BB8EC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EA2066E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118.775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8DD9BD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0,1%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8B0D7A2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98.308 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734D28BB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1,0%</w:t>
            </w:r>
          </w:p>
        </w:tc>
      </w:tr>
      <w:tr w:rsidR="009F4AEE" w:rsidRPr="009F1A76" w14:paraId="76BAE6A7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65027195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C4AB4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119.298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AB29C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0,4%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2CEA2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 98.795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DED0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0,5%</w:t>
            </w:r>
          </w:p>
        </w:tc>
      </w:tr>
      <w:tr w:rsidR="009F4AEE" w:rsidRPr="009F1A76" w14:paraId="540C360C" w14:textId="77777777" w:rsidTr="008F2056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7B2F8EF3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</w:tcPr>
          <w:p w14:paraId="6A8BEAE6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120.269</w:t>
            </w:r>
          </w:p>
        </w:tc>
        <w:tc>
          <w:tcPr>
            <w:tcW w:w="0" w:type="auto"/>
            <w:shd w:val="clear" w:color="auto" w:fill="auto"/>
            <w:noWrap/>
          </w:tcPr>
          <w:p w14:paraId="14BF65AE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0,8%</w:t>
            </w:r>
          </w:p>
        </w:tc>
        <w:tc>
          <w:tcPr>
            <w:tcW w:w="0" w:type="auto"/>
            <w:shd w:val="clear" w:color="auto" w:fill="auto"/>
            <w:noWrap/>
          </w:tcPr>
          <w:p w14:paraId="0DAC7BD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99.900</w:t>
            </w:r>
          </w:p>
        </w:tc>
        <w:tc>
          <w:tcPr>
            <w:tcW w:w="0" w:type="auto"/>
            <w:shd w:val="clear" w:color="auto" w:fill="auto"/>
            <w:noWrap/>
          </w:tcPr>
          <w:p w14:paraId="2D16857F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1,1%</w:t>
            </w:r>
          </w:p>
        </w:tc>
      </w:tr>
      <w:tr w:rsidR="009F4AEE" w:rsidRPr="009F1A76" w14:paraId="1C6FF981" w14:textId="77777777" w:rsidTr="008F2056">
        <w:trPr>
          <w:trHeight w:val="30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73824D30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Var.</w:t>
            </w:r>
          </w:p>
          <w:p w14:paraId="68D81AA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21/07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458462F2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+12.770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02D4C0AC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+11,9%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36F04965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+20.971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</w:tcPr>
          <w:p w14:paraId="3B3C8967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+26,6%</w:t>
            </w:r>
          </w:p>
        </w:tc>
      </w:tr>
    </w:tbl>
    <w:p w14:paraId="0EC38F7A" w14:textId="77777777" w:rsidR="009F4AEE" w:rsidRPr="009F1A76" w:rsidRDefault="009F4AEE" w:rsidP="009F4AEE">
      <w:pPr>
        <w:spacing w:line="234" w:lineRule="exact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9F1A76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*Dati al 31 dicembre di ogni anno</w:t>
      </w:r>
    </w:p>
    <w:p w14:paraId="2DD3CAE7" w14:textId="66BACD5E" w:rsidR="009F4AEE" w:rsidRDefault="009F4AEE" w:rsidP="00A251D5">
      <w:pPr>
        <w:jc w:val="both"/>
        <w:rPr>
          <w:rFonts w:ascii="Arial" w:hAnsi="Arial" w:cs="Arial"/>
          <w:sz w:val="24"/>
          <w:szCs w:val="24"/>
        </w:rPr>
      </w:pPr>
    </w:p>
    <w:p w14:paraId="13303B8C" w14:textId="77777777" w:rsidR="009042DE" w:rsidRDefault="009042DE" w:rsidP="009F4AEE">
      <w:pPr>
        <w:rPr>
          <w:rFonts w:ascii="Calibri" w:eastAsia="Calibri" w:hAnsi="Calibri" w:cs="Calibri"/>
          <w:bCs/>
          <w:i/>
          <w:iCs/>
        </w:rPr>
      </w:pPr>
    </w:p>
    <w:p w14:paraId="26F92507" w14:textId="77777777" w:rsidR="009042DE" w:rsidRDefault="009042DE" w:rsidP="009F4AEE">
      <w:pPr>
        <w:rPr>
          <w:rFonts w:ascii="Calibri" w:eastAsia="Calibri" w:hAnsi="Calibri" w:cs="Calibri"/>
          <w:bCs/>
          <w:i/>
          <w:iCs/>
        </w:rPr>
      </w:pPr>
    </w:p>
    <w:p w14:paraId="23A2C321" w14:textId="77777777" w:rsidR="009042DE" w:rsidRDefault="009042DE" w:rsidP="009F4AEE">
      <w:pPr>
        <w:rPr>
          <w:rFonts w:ascii="Calibri" w:eastAsia="Calibri" w:hAnsi="Calibri" w:cs="Calibri"/>
          <w:bCs/>
          <w:i/>
          <w:iCs/>
        </w:rPr>
      </w:pPr>
    </w:p>
    <w:p w14:paraId="7CA9B357" w14:textId="3F0E5369" w:rsidR="009F4AEE" w:rsidRPr="009042DE" w:rsidRDefault="009F4AEE" w:rsidP="009F4AEE">
      <w:pPr>
        <w:rPr>
          <w:rFonts w:ascii="Arial" w:eastAsia="Calibri" w:hAnsi="Arial" w:cs="Arial"/>
          <w:b/>
          <w:sz w:val="24"/>
          <w:szCs w:val="24"/>
        </w:rPr>
      </w:pPr>
      <w:r w:rsidRPr="009042DE">
        <w:rPr>
          <w:rFonts w:ascii="Arial" w:eastAsia="Calibri" w:hAnsi="Arial" w:cs="Arial"/>
          <w:b/>
          <w:sz w:val="24"/>
          <w:szCs w:val="24"/>
        </w:rPr>
        <w:t>Iscritti totali e tasso di crescita annuale. Anni 2008-2021</w:t>
      </w:r>
    </w:p>
    <w:p w14:paraId="15520DBD" w14:textId="77777777" w:rsidR="009F4AEE" w:rsidRDefault="009F4AEE" w:rsidP="009F4AEE">
      <w:pPr>
        <w:jc w:val="both"/>
        <w:rPr>
          <w:sz w:val="28"/>
          <w:szCs w:val="28"/>
        </w:rPr>
      </w:pPr>
      <w:r w:rsidRPr="009F1A76">
        <w:rPr>
          <w:noProof/>
          <w:sz w:val="28"/>
          <w:szCs w:val="28"/>
        </w:rPr>
        <w:drawing>
          <wp:inline distT="0" distB="0" distL="0" distR="0" wp14:anchorId="41DA431C" wp14:editId="6D4D72F8">
            <wp:extent cx="5737860" cy="3451860"/>
            <wp:effectExtent l="0" t="0" r="0" b="0"/>
            <wp:docPr id="3" name="Grafico 3">
              <a:extLst xmlns:a="http://schemas.openxmlformats.org/drawingml/2006/main">
                <a:ext uri="{FF2B5EF4-FFF2-40B4-BE49-F238E27FC236}">
                  <a16:creationId xmlns:a16="http://schemas.microsoft.com/office/drawing/2014/main" id="{A295A561-71EC-4A23-DE36-716311F447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DC5CA1" w14:textId="77777777" w:rsidR="009F4AEE" w:rsidRPr="009042DE" w:rsidRDefault="009F4AEE" w:rsidP="009F4AEE">
      <w:pPr>
        <w:jc w:val="both"/>
        <w:rPr>
          <w:rFonts w:ascii="Arial" w:hAnsi="Arial" w:cs="Arial"/>
          <w:b/>
          <w:sz w:val="24"/>
          <w:szCs w:val="24"/>
        </w:rPr>
      </w:pPr>
    </w:p>
    <w:p w14:paraId="23C67524" w14:textId="4A98BFE1" w:rsidR="009F4AEE" w:rsidRDefault="009F4AEE" w:rsidP="009F4AEE">
      <w:pPr>
        <w:rPr>
          <w:rFonts w:ascii="Arial" w:eastAsia="Calibri" w:hAnsi="Arial" w:cs="Arial"/>
          <w:b/>
          <w:sz w:val="24"/>
          <w:szCs w:val="24"/>
        </w:rPr>
      </w:pPr>
      <w:r w:rsidRPr="009042DE">
        <w:rPr>
          <w:rFonts w:ascii="Arial" w:eastAsia="Calibri" w:hAnsi="Arial" w:cs="Arial"/>
          <w:b/>
          <w:sz w:val="24"/>
          <w:szCs w:val="24"/>
        </w:rPr>
        <w:t>Media Irpef nominale e reale. Anni 2008-2021</w:t>
      </w:r>
    </w:p>
    <w:p w14:paraId="6105F22E" w14:textId="77777777" w:rsidR="009042DE" w:rsidRPr="009042DE" w:rsidRDefault="009042DE" w:rsidP="009F4AEE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695"/>
        <w:gridCol w:w="1295"/>
        <w:gridCol w:w="958"/>
        <w:gridCol w:w="881"/>
        <w:gridCol w:w="958"/>
      </w:tblGrid>
      <w:tr w:rsidR="009F4AEE" w:rsidRPr="009F1A76" w14:paraId="7CA27CEE" w14:textId="77777777" w:rsidTr="008F2056">
        <w:trPr>
          <w:trHeight w:val="270"/>
        </w:trPr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hideMark/>
          </w:tcPr>
          <w:p w14:paraId="0F889E34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Anni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hideMark/>
          </w:tcPr>
          <w:p w14:paraId="0729E63E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Media Irpef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6D729896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Tasso di</w:t>
            </w:r>
          </w:p>
          <w:p w14:paraId="605497F2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crescita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2855F6A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 xml:space="preserve">Media </w:t>
            </w:r>
          </w:p>
          <w:p w14:paraId="04E45969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Irpef**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002060"/>
            <w:noWrap/>
            <w:hideMark/>
          </w:tcPr>
          <w:p w14:paraId="4746C478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Tasso di</w:t>
            </w:r>
          </w:p>
          <w:p w14:paraId="00EC19B2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it-IT"/>
              </w:rPr>
              <w:t>crescita</w:t>
            </w:r>
          </w:p>
        </w:tc>
      </w:tr>
      <w:tr w:rsidR="009F4AEE" w:rsidRPr="009F1A76" w14:paraId="7EFB45CC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14:paraId="009FAA4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  <w:hideMark/>
          </w:tcPr>
          <w:p w14:paraId="08552A50" w14:textId="77777777" w:rsidR="009F4AEE" w:rsidRPr="009F1A76" w:rsidRDefault="009F4AEE" w:rsidP="008F20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59.847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644E67A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--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C4AAA20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66.202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76D8104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  <w:tr w:rsidR="009F4AEE" w:rsidRPr="009F1A76" w14:paraId="7C7A68AE" w14:textId="77777777" w:rsidTr="008F2056">
        <w:trPr>
          <w:trHeight w:val="270"/>
        </w:trPr>
        <w:tc>
          <w:tcPr>
            <w:tcW w:w="0" w:type="auto"/>
            <w:shd w:val="clear" w:color="auto" w:fill="auto"/>
            <w:hideMark/>
          </w:tcPr>
          <w:p w14:paraId="08B1B107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10E38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61.138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B486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6150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67.111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267F2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1,4%</w:t>
            </w:r>
          </w:p>
        </w:tc>
      </w:tr>
      <w:tr w:rsidR="009F4AEE" w:rsidRPr="009F1A76" w14:paraId="734F59D0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14:paraId="7F0EDD22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  <w:hideMark/>
          </w:tcPr>
          <w:p w14:paraId="7846605A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58.126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EEB5867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-4,9%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5AB3D0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62.771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55259E3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-6,5%</w:t>
            </w:r>
          </w:p>
        </w:tc>
      </w:tr>
      <w:tr w:rsidR="009F4AEE" w:rsidRPr="009F1A76" w14:paraId="06783467" w14:textId="77777777" w:rsidTr="008F2056">
        <w:trPr>
          <w:trHeight w:val="270"/>
        </w:trPr>
        <w:tc>
          <w:tcPr>
            <w:tcW w:w="0" w:type="auto"/>
            <w:shd w:val="clear" w:color="auto" w:fill="auto"/>
            <w:hideMark/>
          </w:tcPr>
          <w:p w14:paraId="4635869C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9E6DE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A7E1B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4B923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61.424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F39C5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-2,1%</w:t>
            </w:r>
          </w:p>
        </w:tc>
      </w:tr>
      <w:tr w:rsidR="009F4AEE" w:rsidRPr="009F1A76" w14:paraId="23CBC819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14:paraId="4C7F143B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  <w:hideMark/>
          </w:tcPr>
          <w:p w14:paraId="4237F9D8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59.854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878A836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2,2%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7DA0A2A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60.827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2C4D27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-1,0%</w:t>
            </w:r>
          </w:p>
        </w:tc>
      </w:tr>
      <w:tr w:rsidR="009F4AEE" w:rsidRPr="009F1A76" w14:paraId="3C53E5C5" w14:textId="77777777" w:rsidTr="008F2056">
        <w:trPr>
          <w:trHeight w:val="270"/>
        </w:trPr>
        <w:tc>
          <w:tcPr>
            <w:tcW w:w="0" w:type="auto"/>
            <w:shd w:val="clear" w:color="auto" w:fill="auto"/>
            <w:hideMark/>
          </w:tcPr>
          <w:p w14:paraId="5BC833E2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B45E9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5C932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-1,1%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45CE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DE12A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-2,4%</w:t>
            </w:r>
          </w:p>
        </w:tc>
      </w:tr>
      <w:tr w:rsidR="009F4AEE" w:rsidRPr="009F1A76" w14:paraId="3046D4AA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9A2846A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ABECC25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58.437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34AA882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-1,3%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D36ECE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58.495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F2C4459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-1,5%</w:t>
            </w:r>
          </w:p>
        </w:tc>
      </w:tr>
      <w:tr w:rsidR="009F4AEE" w:rsidRPr="009F1A76" w14:paraId="14AA2905" w14:textId="77777777" w:rsidTr="008F2056">
        <w:trPr>
          <w:trHeight w:val="270"/>
        </w:trPr>
        <w:tc>
          <w:tcPr>
            <w:tcW w:w="0" w:type="auto"/>
            <w:shd w:val="clear" w:color="auto" w:fill="auto"/>
          </w:tcPr>
          <w:p w14:paraId="2859386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6900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57.340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1367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-1,9%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74253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57.340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57F1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-2,0%</w:t>
            </w:r>
          </w:p>
        </w:tc>
      </w:tr>
      <w:tr w:rsidR="009F4AEE" w:rsidRPr="009F1A76" w14:paraId="50B7032E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F4621B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06495F9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58.602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DDA6E71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2,2%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FCB97A1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58.661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1084C645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2,3%</w:t>
            </w:r>
          </w:p>
        </w:tc>
      </w:tr>
      <w:tr w:rsidR="009F4AEE" w:rsidRPr="009F1A76" w14:paraId="615BD3C0" w14:textId="77777777" w:rsidTr="008F2056">
        <w:trPr>
          <w:trHeight w:val="270"/>
        </w:trPr>
        <w:tc>
          <w:tcPr>
            <w:tcW w:w="0" w:type="auto"/>
            <w:shd w:val="clear" w:color="auto" w:fill="auto"/>
          </w:tcPr>
          <w:p w14:paraId="1801EBCE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00D7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22B1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C9B94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58.498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93E67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-0,3%</w:t>
            </w:r>
          </w:p>
        </w:tc>
      </w:tr>
      <w:tr w:rsidR="009F4AEE" w:rsidRPr="009F1A76" w14:paraId="6456EEF5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D760E4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3ACD322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59.429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282CA40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0,3%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39E8BB8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57.980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0462FB7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-0,9%</w:t>
            </w:r>
          </w:p>
        </w:tc>
      </w:tr>
      <w:tr w:rsidR="009F4AEE" w:rsidRPr="009F1A76" w14:paraId="7C805ABC" w14:textId="77777777" w:rsidTr="008F2056">
        <w:trPr>
          <w:trHeight w:val="270"/>
        </w:trPr>
        <w:tc>
          <w:tcPr>
            <w:tcW w:w="0" w:type="auto"/>
            <w:shd w:val="clear" w:color="auto" w:fill="auto"/>
          </w:tcPr>
          <w:p w14:paraId="761A1334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A8CD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60.962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BA481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2,6%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2AF25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606D1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1,9%</w:t>
            </w:r>
          </w:p>
        </w:tc>
      </w:tr>
      <w:tr w:rsidR="009F4AEE" w:rsidRPr="009F1A76" w14:paraId="36CDA5C4" w14:textId="77777777" w:rsidTr="008F2056">
        <w:trPr>
          <w:trHeight w:val="270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25E431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FB01C6B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61.237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623F0EE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0,5%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282CCD67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59.453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vAlign w:val="center"/>
          </w:tcPr>
          <w:p w14:paraId="59D0B571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F1A76">
              <w:rPr>
                <w:rFonts w:ascii="Calibri" w:eastAsia="Times New Roman" w:hAnsi="Calibri" w:cs="Calibri"/>
                <w:color w:val="000000"/>
                <w:lang w:eastAsia="it-IT"/>
              </w:rPr>
              <w:t>0,6%</w:t>
            </w:r>
          </w:p>
        </w:tc>
      </w:tr>
      <w:tr w:rsidR="009F4AEE" w:rsidRPr="009F1A76" w14:paraId="3389F8F8" w14:textId="77777777" w:rsidTr="008F2056">
        <w:trPr>
          <w:trHeight w:val="270"/>
        </w:trPr>
        <w:tc>
          <w:tcPr>
            <w:tcW w:w="0" w:type="auto"/>
            <w:shd w:val="clear" w:color="auto" w:fill="auto"/>
          </w:tcPr>
          <w:p w14:paraId="0A5D1165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14:paraId="2F710438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62.282</w:t>
            </w:r>
          </w:p>
        </w:tc>
        <w:tc>
          <w:tcPr>
            <w:tcW w:w="0" w:type="auto"/>
            <w:shd w:val="clear" w:color="auto" w:fill="auto"/>
            <w:noWrap/>
          </w:tcPr>
          <w:p w14:paraId="1DBB987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1,1%</w:t>
            </w:r>
          </w:p>
        </w:tc>
        <w:tc>
          <w:tcPr>
            <w:tcW w:w="0" w:type="auto"/>
            <w:shd w:val="clear" w:color="auto" w:fill="auto"/>
            <w:noWrap/>
          </w:tcPr>
          <w:p w14:paraId="40D5931B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59.316</w:t>
            </w:r>
          </w:p>
        </w:tc>
        <w:tc>
          <w:tcPr>
            <w:tcW w:w="0" w:type="auto"/>
            <w:shd w:val="clear" w:color="auto" w:fill="auto"/>
            <w:noWrap/>
          </w:tcPr>
          <w:p w14:paraId="5C794647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>-0,8%</w:t>
            </w:r>
          </w:p>
        </w:tc>
      </w:tr>
      <w:tr w:rsidR="009F4AEE" w:rsidRPr="009F1A76" w14:paraId="17DDBC16" w14:textId="77777777" w:rsidTr="008F2056">
        <w:trPr>
          <w:trHeight w:val="270"/>
        </w:trPr>
        <w:tc>
          <w:tcPr>
            <w:tcW w:w="0" w:type="auto"/>
            <w:shd w:val="clear" w:color="auto" w:fill="auto"/>
          </w:tcPr>
          <w:p w14:paraId="4F212081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Var </w:t>
            </w:r>
          </w:p>
          <w:p w14:paraId="44E8C99B" w14:textId="77777777" w:rsidR="009F4AEE" w:rsidRPr="009F1A76" w:rsidRDefault="009F4AEE" w:rsidP="008F20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21/08</w:t>
            </w:r>
          </w:p>
        </w:tc>
        <w:tc>
          <w:tcPr>
            <w:tcW w:w="0" w:type="auto"/>
            <w:shd w:val="clear" w:color="auto" w:fill="auto"/>
          </w:tcPr>
          <w:p w14:paraId="318B29DC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+2.435</w:t>
            </w:r>
          </w:p>
        </w:tc>
        <w:tc>
          <w:tcPr>
            <w:tcW w:w="0" w:type="auto"/>
            <w:shd w:val="clear" w:color="auto" w:fill="auto"/>
            <w:noWrap/>
          </w:tcPr>
          <w:p w14:paraId="42D19BA3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4,1%</w:t>
            </w:r>
          </w:p>
        </w:tc>
        <w:tc>
          <w:tcPr>
            <w:tcW w:w="0" w:type="auto"/>
            <w:shd w:val="clear" w:color="auto" w:fill="auto"/>
            <w:noWrap/>
          </w:tcPr>
          <w:p w14:paraId="7E4C9753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-6.886</w:t>
            </w:r>
          </w:p>
        </w:tc>
        <w:tc>
          <w:tcPr>
            <w:tcW w:w="0" w:type="auto"/>
            <w:shd w:val="clear" w:color="auto" w:fill="auto"/>
            <w:noWrap/>
          </w:tcPr>
          <w:p w14:paraId="5B56468F" w14:textId="77777777" w:rsidR="009F4AEE" w:rsidRPr="009F1A76" w:rsidRDefault="009F4AEE" w:rsidP="008F2056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9F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-10,4%</w:t>
            </w:r>
          </w:p>
        </w:tc>
      </w:tr>
    </w:tbl>
    <w:p w14:paraId="30854D31" w14:textId="77777777" w:rsidR="009F4AEE" w:rsidRPr="009F1A76" w:rsidRDefault="009F4AEE" w:rsidP="009F4AEE">
      <w:pPr>
        <w:spacing w:line="234" w:lineRule="exact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9F1A76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**L'anno indicato si riferisce alla dichiarazione dei redditi alle rispettive Casse</w:t>
      </w:r>
    </w:p>
    <w:p w14:paraId="04EF294C" w14:textId="77777777" w:rsidR="009F4AEE" w:rsidRPr="009F1A76" w:rsidRDefault="009F4AEE" w:rsidP="009F4AEE">
      <w:pPr>
        <w:spacing w:after="120"/>
        <w:rPr>
          <w:rFonts w:ascii="Calibri" w:eastAsia="Calibri" w:hAnsi="Calibri" w:cs="Calibri"/>
          <w:bCs/>
          <w:i/>
          <w:iCs/>
        </w:rPr>
      </w:pPr>
      <w:r w:rsidRPr="009F1A76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**Valori deflazionati sulla base dell’indice IPCA (Anno base 2015=100).</w:t>
      </w:r>
    </w:p>
    <w:p w14:paraId="3DDA3930" w14:textId="77777777" w:rsidR="007A0A91" w:rsidRDefault="007A0A91" w:rsidP="00701071">
      <w:pPr>
        <w:spacing w:before="480" w:after="120"/>
        <w:rPr>
          <w:rFonts w:ascii="Arial" w:eastAsia="Calibri" w:hAnsi="Arial" w:cs="Arial"/>
          <w:b/>
          <w:sz w:val="24"/>
          <w:szCs w:val="24"/>
        </w:rPr>
      </w:pPr>
    </w:p>
    <w:p w14:paraId="011CE9F7" w14:textId="51AB90AE" w:rsidR="00701071" w:rsidRPr="00701071" w:rsidRDefault="00701071" w:rsidP="00701071">
      <w:pPr>
        <w:spacing w:before="480" w:after="120"/>
        <w:rPr>
          <w:rFonts w:ascii="Arial" w:eastAsia="Calibri" w:hAnsi="Arial" w:cs="Arial"/>
          <w:b/>
          <w:sz w:val="24"/>
          <w:szCs w:val="24"/>
        </w:rPr>
      </w:pPr>
      <w:r w:rsidRPr="00701071">
        <w:rPr>
          <w:rFonts w:ascii="Arial" w:eastAsia="Calibri" w:hAnsi="Arial" w:cs="Arial"/>
          <w:b/>
          <w:sz w:val="24"/>
          <w:szCs w:val="24"/>
        </w:rPr>
        <w:t>Redditi professionali medi. Indici anno 2008=100</w:t>
      </w:r>
    </w:p>
    <w:p w14:paraId="4D485DDB" w14:textId="77777777" w:rsidR="00701071" w:rsidRPr="009F1A76" w:rsidRDefault="00701071" w:rsidP="00701071">
      <w:pPr>
        <w:rPr>
          <w:rFonts w:ascii="Calibri" w:eastAsia="Calibri" w:hAnsi="Calibri" w:cs="Calibri"/>
          <w:sz w:val="24"/>
          <w:szCs w:val="24"/>
        </w:rPr>
      </w:pPr>
    </w:p>
    <w:p w14:paraId="6C456C14" w14:textId="7077D7A2" w:rsidR="00701071" w:rsidRPr="00227FFE" w:rsidRDefault="00701071" w:rsidP="00701071">
      <w:pPr>
        <w:jc w:val="both"/>
        <w:rPr>
          <w:sz w:val="28"/>
          <w:szCs w:val="28"/>
        </w:rPr>
      </w:pPr>
      <w:r w:rsidRPr="009F1A76">
        <w:rPr>
          <w:rFonts w:ascii="Calibri" w:eastAsia="Calibri" w:hAnsi="Calibri" w:cs="Times New Roman"/>
          <w:noProof/>
        </w:rPr>
        <w:drawing>
          <wp:inline distT="0" distB="0" distL="0" distR="0" wp14:anchorId="3E50388C" wp14:editId="26962150">
            <wp:extent cx="5267324" cy="4339747"/>
            <wp:effectExtent l="0" t="0" r="0" b="3810"/>
            <wp:docPr id="4" name="Grafico 4">
              <a:extLst xmlns:a="http://schemas.openxmlformats.org/drawingml/2006/main">
                <a:ext uri="{FF2B5EF4-FFF2-40B4-BE49-F238E27FC236}">
                  <a16:creationId xmlns:a16="http://schemas.microsoft.com/office/drawing/2014/main" id="{241B8675-E44B-F33E-3182-82941709A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701071" w:rsidRPr="00227FF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B729" w14:textId="77777777" w:rsidR="001A5F2D" w:rsidRDefault="001A5F2D" w:rsidP="0078332C">
      <w:r>
        <w:separator/>
      </w:r>
    </w:p>
  </w:endnote>
  <w:endnote w:type="continuationSeparator" w:id="0">
    <w:p w14:paraId="239BDC27" w14:textId="77777777" w:rsidR="001A5F2D" w:rsidRDefault="001A5F2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11AB" w14:textId="77777777" w:rsidR="001A5F2D" w:rsidRDefault="001A5F2D" w:rsidP="0078332C">
      <w:r>
        <w:separator/>
      </w:r>
    </w:p>
  </w:footnote>
  <w:footnote w:type="continuationSeparator" w:id="0">
    <w:p w14:paraId="4AC9B34D" w14:textId="77777777" w:rsidR="001A5F2D" w:rsidRDefault="001A5F2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1CD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96FE7"/>
    <w:rsid w:val="001A0166"/>
    <w:rsid w:val="001A5F2D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3E6B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544"/>
    <w:rsid w:val="00333957"/>
    <w:rsid w:val="00353EE3"/>
    <w:rsid w:val="0035503D"/>
    <w:rsid w:val="0036445C"/>
    <w:rsid w:val="00365C91"/>
    <w:rsid w:val="00366188"/>
    <w:rsid w:val="00371B42"/>
    <w:rsid w:val="003738DE"/>
    <w:rsid w:val="003808D1"/>
    <w:rsid w:val="003837DD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56F6"/>
    <w:rsid w:val="00536016"/>
    <w:rsid w:val="00542311"/>
    <w:rsid w:val="00543860"/>
    <w:rsid w:val="00544970"/>
    <w:rsid w:val="005551E7"/>
    <w:rsid w:val="00555885"/>
    <w:rsid w:val="005564F8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424"/>
    <w:rsid w:val="00590F83"/>
    <w:rsid w:val="0059237D"/>
    <w:rsid w:val="00592CA1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4A51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690"/>
    <w:rsid w:val="006F4DC7"/>
    <w:rsid w:val="007002E9"/>
    <w:rsid w:val="00701071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A0A91"/>
    <w:rsid w:val="007C14B1"/>
    <w:rsid w:val="007C3A93"/>
    <w:rsid w:val="007C5CCD"/>
    <w:rsid w:val="007D4196"/>
    <w:rsid w:val="007D4241"/>
    <w:rsid w:val="007E44E2"/>
    <w:rsid w:val="0080283B"/>
    <w:rsid w:val="0080797B"/>
    <w:rsid w:val="0081381B"/>
    <w:rsid w:val="00813FF6"/>
    <w:rsid w:val="00831294"/>
    <w:rsid w:val="00831716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2DE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9F4AEE"/>
    <w:rsid w:val="00A007E5"/>
    <w:rsid w:val="00A057F7"/>
    <w:rsid w:val="00A07FB9"/>
    <w:rsid w:val="00A12594"/>
    <w:rsid w:val="00A250F1"/>
    <w:rsid w:val="00A251D5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C417E"/>
    <w:rsid w:val="00AD014A"/>
    <w:rsid w:val="00AD590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36030"/>
    <w:rsid w:val="00C418FB"/>
    <w:rsid w:val="00C427E4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74B"/>
    <w:rsid w:val="00E6797B"/>
    <w:rsid w:val="00E67E9C"/>
    <w:rsid w:val="00E701F3"/>
    <w:rsid w:val="00E855E0"/>
    <w:rsid w:val="00E9545A"/>
    <w:rsid w:val="00EA25EF"/>
    <w:rsid w:val="00EA5CE8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Foglio1!$E$8</c:f>
              <c:strCache>
                <c:ptCount val="1"/>
                <c:pt idx="0">
                  <c:v>Albo (scala sx)</c:v>
                </c:pt>
              </c:strCache>
            </c:strRef>
          </c:tx>
          <c:spPr>
            <a:solidFill>
              <a:srgbClr val="74B1D3"/>
            </a:solidFill>
            <a:ln>
              <a:noFill/>
            </a:ln>
            <a:effectLst/>
          </c:spPr>
          <c:invertIfNegative val="0"/>
          <c:cat>
            <c:strRef>
              <c:f>Foglio1!$D$9:$D$22</c:f>
              <c:strCache>
                <c:ptCount val="14"/>
                <c:pt idx="0">
                  <c:v>08</c:v>
                </c:pt>
                <c:pt idx="1">
                  <c:v>09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</c:strCache>
            </c:strRef>
          </c:cat>
          <c:val>
            <c:numRef>
              <c:f>Foglio1!$E$9:$E$22</c:f>
              <c:numCache>
                <c:formatCode>#,##0</c:formatCode>
                <c:ptCount val="14"/>
                <c:pt idx="0">
                  <c:v>109474</c:v>
                </c:pt>
                <c:pt idx="1">
                  <c:v>110787</c:v>
                </c:pt>
                <c:pt idx="2">
                  <c:v>112164</c:v>
                </c:pt>
                <c:pt idx="3">
                  <c:v>113235</c:v>
                </c:pt>
                <c:pt idx="4">
                  <c:v>114041</c:v>
                </c:pt>
                <c:pt idx="5">
                  <c:v>115067</c:v>
                </c:pt>
                <c:pt idx="6">
                  <c:v>116245</c:v>
                </c:pt>
                <c:pt idx="7">
                  <c:v>117352</c:v>
                </c:pt>
                <c:pt idx="8">
                  <c:v>117916</c:v>
                </c:pt>
                <c:pt idx="9">
                  <c:v>118333</c:v>
                </c:pt>
                <c:pt idx="10">
                  <c:v>118639</c:v>
                </c:pt>
                <c:pt idx="11">
                  <c:v>118775</c:v>
                </c:pt>
                <c:pt idx="12">
                  <c:v>119298</c:v>
                </c:pt>
                <c:pt idx="13">
                  <c:v>120269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8-4D75-817B-276986BCF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925200"/>
        <c:axId val="220923952"/>
      </c:barChart>
      <c:lineChart>
        <c:grouping val="standard"/>
        <c:varyColors val="0"/>
        <c:ser>
          <c:idx val="1"/>
          <c:order val="1"/>
          <c:tx>
            <c:strRef>
              <c:f>Foglio1!$F$8</c:f>
              <c:strCache>
                <c:ptCount val="1"/>
                <c:pt idx="0">
                  <c:v>Crescita annuale (scala dx)</c:v>
                </c:pt>
              </c:strCache>
            </c:strRef>
          </c:tx>
          <c:spPr>
            <a:ln w="28575" cap="rnd">
              <a:solidFill>
                <a:srgbClr val="F4737E"/>
              </a:solidFill>
              <a:round/>
            </a:ln>
            <a:effectLst/>
          </c:spPr>
          <c:marker>
            <c:symbol val="none"/>
          </c:marker>
          <c:cat>
            <c:strRef>
              <c:f>Foglio1!$D$9:$D$22</c:f>
              <c:strCache>
                <c:ptCount val="14"/>
                <c:pt idx="0">
                  <c:v>08</c:v>
                </c:pt>
                <c:pt idx="1">
                  <c:v>09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</c:strCache>
            </c:strRef>
          </c:cat>
          <c:val>
            <c:numRef>
              <c:f>Foglio1!$F$9:$F$22</c:f>
              <c:numCache>
                <c:formatCode>0.0%</c:formatCode>
                <c:ptCount val="14"/>
                <c:pt idx="0">
                  <c:v>1.7999999999999999E-2</c:v>
                </c:pt>
                <c:pt idx="1">
                  <c:v>1.2E-2</c:v>
                </c:pt>
                <c:pt idx="2">
                  <c:v>1.2E-2</c:v>
                </c:pt>
                <c:pt idx="3">
                  <c:v>0.01</c:v>
                </c:pt>
                <c:pt idx="4">
                  <c:v>7.0000000000000001E-3</c:v>
                </c:pt>
                <c:pt idx="5">
                  <c:v>8.9999999999999993E-3</c:v>
                </c:pt>
                <c:pt idx="6">
                  <c:v>0.01</c:v>
                </c:pt>
                <c:pt idx="7">
                  <c:v>0.01</c:v>
                </c:pt>
                <c:pt idx="8">
                  <c:v>5.0000000000000001E-3</c:v>
                </c:pt>
                <c:pt idx="9">
                  <c:v>4.0000000000000001E-3</c:v>
                </c:pt>
                <c:pt idx="10">
                  <c:v>3.0000000000000001E-3</c:v>
                </c:pt>
                <c:pt idx="11">
                  <c:v>1E-3</c:v>
                </c:pt>
                <c:pt idx="12">
                  <c:v>4.0000000000000001E-3</c:v>
                </c:pt>
                <c:pt idx="13">
                  <c:v>8.0000000000000002E-3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F8-4D75-817B-276986BCF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924368"/>
        <c:axId val="220926448"/>
      </c:lineChart>
      <c:catAx>
        <c:axId val="22092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it-IT"/>
          </a:p>
        </c:txPr>
        <c:crossAx val="220923952"/>
        <c:crosses val="autoZero"/>
        <c:auto val="1"/>
        <c:lblAlgn val="ctr"/>
        <c:lblOffset val="100"/>
        <c:noMultiLvlLbl val="0"/>
      </c:catAx>
      <c:valAx>
        <c:axId val="22092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it-IT"/>
          </a:p>
        </c:txPr>
        <c:crossAx val="220925200"/>
        <c:crosses val="autoZero"/>
        <c:crossBetween val="between"/>
      </c:valAx>
      <c:valAx>
        <c:axId val="220926448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it-IT"/>
          </a:p>
        </c:txPr>
        <c:crossAx val="220924368"/>
        <c:crosses val="max"/>
        <c:crossBetween val="between"/>
      </c:valAx>
      <c:catAx>
        <c:axId val="2209243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926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yriad Pro" panose="020B050303040302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Myriad Pro" panose="020B0503030403020204" pitchFamily="34" charset="0"/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Foglio6!$M$4</c:f>
              <c:strCache>
                <c:ptCount val="1"/>
                <c:pt idx="0">
                  <c:v>Nominale</c:v>
                </c:pt>
              </c:strCache>
            </c:strRef>
          </c:tx>
          <c:spPr>
            <a:ln w="28575" cap="rnd">
              <a:solidFill>
                <a:srgbClr val="74B1D3"/>
              </a:solidFill>
              <a:round/>
            </a:ln>
            <a:effectLst/>
          </c:spPr>
          <c:marker>
            <c:symbol val="none"/>
          </c:marker>
          <c:cat>
            <c:numRef>
              <c:f>Foglio6!$L$5:$L$18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Foglio6!$M$5:$M$18</c:f>
              <c:numCache>
                <c:formatCode>0.0%</c:formatCode>
                <c:ptCount val="14"/>
                <c:pt idx="0">
                  <c:v>1</c:v>
                </c:pt>
                <c:pt idx="1">
                  <c:v>1.0215716744364798</c:v>
                </c:pt>
                <c:pt idx="2">
                  <c:v>0.9712433371764666</c:v>
                </c:pt>
                <c:pt idx="3">
                  <c:v>0.9781108493324645</c:v>
                </c:pt>
                <c:pt idx="4">
                  <c:v>1.000116964927231</c:v>
                </c:pt>
                <c:pt idx="5">
                  <c:v>0.98897187828963862</c:v>
                </c:pt>
                <c:pt idx="6">
                  <c:v>0.97643992180059147</c:v>
                </c:pt>
                <c:pt idx="7">
                  <c:v>0.95810984677594535</c:v>
                </c:pt>
                <c:pt idx="8">
                  <c:v>0.97919695222818182</c:v>
                </c:pt>
                <c:pt idx="9">
                  <c:v>0.99015823683726834</c:v>
                </c:pt>
                <c:pt idx="10">
                  <c:v>0.99301552291677109</c:v>
                </c:pt>
                <c:pt idx="11">
                  <c:v>1.0186308419803833</c:v>
                </c:pt>
                <c:pt idx="12">
                  <c:v>1.0294918709375573</c:v>
                </c:pt>
                <c:pt idx="13">
                  <c:v>1.0406870854011061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82-4D8A-94DA-26810C835A88}"/>
            </c:ext>
          </c:extLst>
        </c:ser>
        <c:ser>
          <c:idx val="1"/>
          <c:order val="1"/>
          <c:tx>
            <c:strRef>
              <c:f>Foglio6!$N$4</c:f>
              <c:strCache>
                <c:ptCount val="1"/>
                <c:pt idx="0">
                  <c:v>Reale</c:v>
                </c:pt>
              </c:strCache>
            </c:strRef>
          </c:tx>
          <c:spPr>
            <a:ln w="28575" cap="rnd">
              <a:solidFill>
                <a:srgbClr val="F4737E"/>
              </a:solidFill>
              <a:round/>
            </a:ln>
            <a:effectLst/>
          </c:spPr>
          <c:marker>
            <c:symbol val="none"/>
          </c:marker>
          <c:cat>
            <c:numRef>
              <c:f>Foglio6!$L$5:$L$18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Foglio6!$N$5:$N$18</c:f>
              <c:numCache>
                <c:formatCode>0.0%</c:formatCode>
                <c:ptCount val="14"/>
                <c:pt idx="0">
                  <c:v>1</c:v>
                </c:pt>
                <c:pt idx="1">
                  <c:v>1.0137307029999094</c:v>
                </c:pt>
                <c:pt idx="2">
                  <c:v>0.94817377118516055</c:v>
                </c:pt>
                <c:pt idx="3">
                  <c:v>0.92782695386846314</c:v>
                </c:pt>
                <c:pt idx="4">
                  <c:v>0.91880909942297817</c:v>
                </c:pt>
                <c:pt idx="5">
                  <c:v>0.89672517446602817</c:v>
                </c:pt>
                <c:pt idx="6">
                  <c:v>0.88358357753542194</c:v>
                </c:pt>
                <c:pt idx="7">
                  <c:v>0.86613697471375484</c:v>
                </c:pt>
                <c:pt idx="8">
                  <c:v>0.88609105465091687</c:v>
                </c:pt>
                <c:pt idx="9">
                  <c:v>0.88362889338690676</c:v>
                </c:pt>
                <c:pt idx="10">
                  <c:v>0.87580435636385612</c:v>
                </c:pt>
                <c:pt idx="11">
                  <c:v>0.89229932630434128</c:v>
                </c:pt>
                <c:pt idx="12">
                  <c:v>0.90355276275641216</c:v>
                </c:pt>
                <c:pt idx="13">
                  <c:v>0.89598501555844234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82-4D8A-94DA-26810C835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5355696"/>
        <c:axId val="855359024"/>
      </c:lineChart>
      <c:catAx>
        <c:axId val="85535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it-IT"/>
          </a:p>
        </c:txPr>
        <c:crossAx val="855359024"/>
        <c:crosses val="autoZero"/>
        <c:auto val="1"/>
        <c:lblAlgn val="ctr"/>
        <c:lblOffset val="100"/>
        <c:noMultiLvlLbl val="0"/>
      </c:catAx>
      <c:valAx>
        <c:axId val="855359024"/>
        <c:scaling>
          <c:orientation val="minMax"/>
          <c:max val="1.05"/>
          <c:min val="0.85000000000000009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it-IT"/>
          </a:p>
        </c:txPr>
        <c:crossAx val="85535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yriad Pro" panose="020B050303040302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2020-01-14T09:44:00Z</cp:lastPrinted>
  <dcterms:created xsi:type="dcterms:W3CDTF">2022-07-04T15:26:00Z</dcterms:created>
  <dcterms:modified xsi:type="dcterms:W3CDTF">2022-07-04T15:27:00Z</dcterms:modified>
</cp:coreProperties>
</file>