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Default="00A25D50" w:rsidP="00D8383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184D53" w14:textId="77777777" w:rsidR="009B0DBA" w:rsidRPr="00733833" w:rsidRDefault="009B0DBA" w:rsidP="00D8383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BAF6AB" w14:textId="77777777" w:rsidR="007840AA" w:rsidRDefault="007840AA" w:rsidP="00D8383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7A78EA21" w:rsidR="00A25D50" w:rsidRPr="00733833" w:rsidRDefault="00A25D50" w:rsidP="00D8383C">
      <w:pPr>
        <w:jc w:val="center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1850C1AF" w14:textId="77777777" w:rsidR="0081545F" w:rsidRDefault="0081545F" w:rsidP="0081545F">
      <w:pPr>
        <w:jc w:val="center"/>
        <w:rPr>
          <w:rFonts w:ascii="Arial" w:hAnsi="Arial" w:cs="Arial"/>
          <w:b/>
          <w:bCs/>
        </w:rPr>
      </w:pPr>
      <w:bookmarkStart w:id="0" w:name="_Hlk133933049"/>
    </w:p>
    <w:bookmarkEnd w:id="0"/>
    <w:p w14:paraId="5547D614" w14:textId="7526E719" w:rsidR="0099594F" w:rsidRDefault="00672774" w:rsidP="00B8548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2774">
        <w:rPr>
          <w:rFonts w:ascii="Arial" w:hAnsi="Arial" w:cs="Arial"/>
          <w:b/>
          <w:bCs/>
          <w:sz w:val="24"/>
          <w:szCs w:val="24"/>
        </w:rPr>
        <w:t xml:space="preserve">STATI GENERALI DEI COMMERCIALISTI, DE NUCCIO: </w:t>
      </w:r>
      <w:r w:rsidR="0099594F">
        <w:rPr>
          <w:rFonts w:ascii="Arial" w:hAnsi="Arial" w:cs="Arial"/>
          <w:b/>
          <w:bCs/>
          <w:sz w:val="24"/>
          <w:szCs w:val="24"/>
        </w:rPr>
        <w:t>“</w:t>
      </w:r>
      <w:r w:rsidR="009A16B1">
        <w:rPr>
          <w:rFonts w:ascii="Arial" w:hAnsi="Arial" w:cs="Arial"/>
          <w:b/>
          <w:bCs/>
          <w:sz w:val="24"/>
          <w:szCs w:val="24"/>
        </w:rPr>
        <w:t xml:space="preserve">RIFORMA FISCALE </w:t>
      </w:r>
      <w:r w:rsidR="009B0DBA">
        <w:rPr>
          <w:rFonts w:ascii="Arial" w:hAnsi="Arial" w:cs="Arial"/>
          <w:b/>
          <w:bCs/>
          <w:sz w:val="24"/>
          <w:szCs w:val="24"/>
        </w:rPr>
        <w:t>STRAORDINARIA</w:t>
      </w:r>
      <w:r w:rsidR="009A16B1">
        <w:rPr>
          <w:rFonts w:ascii="Arial" w:hAnsi="Arial" w:cs="Arial"/>
          <w:b/>
          <w:bCs/>
          <w:sz w:val="24"/>
          <w:szCs w:val="24"/>
        </w:rPr>
        <w:t xml:space="preserve"> OCCASIONE PER COLMARE GAP CON ECONOMIE PIU’ EVOLUTE</w:t>
      </w:r>
      <w:r w:rsidR="0099594F">
        <w:rPr>
          <w:rFonts w:ascii="Arial" w:hAnsi="Arial" w:cs="Arial"/>
          <w:b/>
          <w:bCs/>
          <w:sz w:val="24"/>
          <w:szCs w:val="24"/>
        </w:rPr>
        <w:t>”</w:t>
      </w:r>
    </w:p>
    <w:p w14:paraId="42F2E296" w14:textId="77777777" w:rsidR="0099594F" w:rsidRDefault="0099594F" w:rsidP="00B8548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049D97" w14:textId="1CBC84E8" w:rsidR="00672774" w:rsidRDefault="0099594F" w:rsidP="00B8548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Il presidente della categoria: “</w:t>
      </w:r>
      <w:r w:rsidR="008A6F61">
        <w:rPr>
          <w:rFonts w:ascii="Arial" w:hAnsi="Arial" w:cs="Arial"/>
          <w:b/>
          <w:bCs/>
          <w:sz w:val="24"/>
          <w:szCs w:val="24"/>
        </w:rPr>
        <w:t xml:space="preserve">Occasione da non sprecare. </w:t>
      </w:r>
      <w:r w:rsidR="001E3E82">
        <w:rPr>
          <w:rFonts w:ascii="Arial" w:hAnsi="Arial" w:cs="Arial"/>
          <w:b/>
          <w:bCs/>
          <w:sz w:val="24"/>
          <w:szCs w:val="24"/>
        </w:rPr>
        <w:t>Prioritari equità orizzontale</w:t>
      </w:r>
      <w:r w:rsidR="008A6F61">
        <w:rPr>
          <w:rFonts w:ascii="Arial" w:hAnsi="Arial" w:cs="Arial"/>
          <w:b/>
          <w:bCs/>
          <w:sz w:val="24"/>
          <w:szCs w:val="24"/>
        </w:rPr>
        <w:t>, semplificazione della base imponibile e sfoltimento normativo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9A16B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893B8D" w14:textId="77777777" w:rsidR="0099594F" w:rsidRDefault="0099594F" w:rsidP="00B8548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B6C7C2" w14:textId="280F1AF4" w:rsidR="00923955" w:rsidRDefault="00672774" w:rsidP="00B96AF2">
      <w:pPr>
        <w:autoSpaceDE w:val="0"/>
        <w:autoSpaceDN w:val="0"/>
        <w:adjustRightInd w:val="0"/>
        <w:spacing w:before="120" w:after="160"/>
        <w:jc w:val="both"/>
        <w:rPr>
          <w:rFonts w:ascii="Arial" w:hAnsi="Arial" w:cs="Arial"/>
          <w:sz w:val="24"/>
          <w:szCs w:val="24"/>
        </w:rPr>
      </w:pPr>
      <w:r w:rsidRPr="00B8548C">
        <w:rPr>
          <w:rFonts w:ascii="Arial" w:hAnsi="Arial" w:cs="Arial"/>
          <w:i/>
          <w:iCs/>
          <w:sz w:val="24"/>
          <w:szCs w:val="24"/>
        </w:rPr>
        <w:t>Roma, 4 maggio 2023 –</w:t>
      </w:r>
      <w:r w:rsidRPr="00B8548C">
        <w:rPr>
          <w:rFonts w:ascii="Arial" w:hAnsi="Arial" w:cs="Arial"/>
          <w:sz w:val="24"/>
          <w:szCs w:val="24"/>
        </w:rPr>
        <w:t xml:space="preserve"> “I</w:t>
      </w:r>
      <w:r w:rsidR="009A16B1">
        <w:rPr>
          <w:rFonts w:ascii="Arial" w:hAnsi="Arial" w:cs="Arial"/>
          <w:sz w:val="24"/>
          <w:szCs w:val="24"/>
        </w:rPr>
        <w:t>l nostro</w:t>
      </w:r>
      <w:r w:rsidRPr="00B8548C">
        <w:rPr>
          <w:rFonts w:ascii="Arial" w:hAnsi="Arial" w:cs="Arial"/>
          <w:sz w:val="24"/>
          <w:szCs w:val="24"/>
        </w:rPr>
        <w:t xml:space="preserve"> </w:t>
      </w:r>
      <w:r w:rsidRPr="00B8548C">
        <w:rPr>
          <w:rFonts w:ascii="Arial" w:hAnsi="Arial" w:cs="Arial"/>
          <w:b/>
          <w:sz w:val="24"/>
          <w:szCs w:val="24"/>
        </w:rPr>
        <w:t>sistema fiscale</w:t>
      </w:r>
      <w:r w:rsidRPr="00B8548C">
        <w:rPr>
          <w:rFonts w:ascii="Arial" w:hAnsi="Arial" w:cs="Arial"/>
          <w:sz w:val="24"/>
          <w:szCs w:val="24"/>
        </w:rPr>
        <w:t xml:space="preserve"> deve essere ripensato come uno </w:t>
      </w:r>
      <w:r w:rsidRPr="00B8548C">
        <w:rPr>
          <w:rFonts w:ascii="Arial" w:hAnsi="Arial" w:cs="Arial"/>
          <w:b/>
          <w:sz w:val="24"/>
          <w:szCs w:val="24"/>
        </w:rPr>
        <w:t>strumento di rilancio del sistema economico nazionale</w:t>
      </w:r>
      <w:r w:rsidRPr="00B8548C">
        <w:rPr>
          <w:rFonts w:ascii="Arial" w:hAnsi="Arial" w:cs="Arial"/>
          <w:sz w:val="24"/>
          <w:szCs w:val="24"/>
        </w:rPr>
        <w:t xml:space="preserve">, attraverso una semplificazione e una razionalizzazione del prelievo che premi </w:t>
      </w:r>
      <w:r w:rsidRPr="00B8548C">
        <w:rPr>
          <w:rFonts w:ascii="Arial" w:hAnsi="Arial" w:cs="Arial"/>
          <w:b/>
          <w:bCs/>
          <w:sz w:val="24"/>
          <w:szCs w:val="24"/>
        </w:rPr>
        <w:t>assunzioni</w:t>
      </w:r>
      <w:r w:rsidRPr="00B8548C">
        <w:rPr>
          <w:rFonts w:ascii="Arial" w:hAnsi="Arial" w:cs="Arial"/>
          <w:sz w:val="24"/>
          <w:szCs w:val="24"/>
        </w:rPr>
        <w:t xml:space="preserve">, </w:t>
      </w:r>
      <w:r w:rsidRPr="00B8548C">
        <w:rPr>
          <w:rFonts w:ascii="Arial" w:hAnsi="Arial" w:cs="Arial"/>
          <w:b/>
          <w:bCs/>
          <w:sz w:val="24"/>
          <w:szCs w:val="24"/>
        </w:rPr>
        <w:t>innovazione</w:t>
      </w:r>
      <w:r w:rsidRPr="00B8548C">
        <w:rPr>
          <w:rFonts w:ascii="Arial" w:hAnsi="Arial" w:cs="Arial"/>
          <w:sz w:val="24"/>
          <w:szCs w:val="24"/>
        </w:rPr>
        <w:t xml:space="preserve"> e </w:t>
      </w:r>
      <w:r w:rsidRPr="00B8548C">
        <w:rPr>
          <w:rFonts w:ascii="Arial" w:hAnsi="Arial" w:cs="Arial"/>
          <w:b/>
          <w:bCs/>
          <w:sz w:val="24"/>
          <w:szCs w:val="24"/>
        </w:rPr>
        <w:t>investimenti.</w:t>
      </w:r>
      <w:r w:rsidRPr="00B8548C">
        <w:rPr>
          <w:rFonts w:ascii="Arial" w:hAnsi="Arial" w:cs="Arial"/>
          <w:sz w:val="24"/>
          <w:szCs w:val="24"/>
        </w:rPr>
        <w:t xml:space="preserve"> Solo attraverso la creazione di lavoro e l’aumento della produttività e competitività delle imprese si potranno creare i presupposti per la </w:t>
      </w:r>
      <w:r w:rsidRPr="00B8548C">
        <w:rPr>
          <w:rFonts w:ascii="Arial" w:hAnsi="Arial" w:cs="Arial"/>
          <w:b/>
          <w:bCs/>
          <w:sz w:val="24"/>
          <w:szCs w:val="24"/>
        </w:rPr>
        <w:t>riduzione della pressione fiscale</w:t>
      </w:r>
      <w:r w:rsidRPr="00B8548C">
        <w:rPr>
          <w:rFonts w:ascii="Arial" w:hAnsi="Arial" w:cs="Arial"/>
          <w:sz w:val="24"/>
          <w:szCs w:val="24"/>
        </w:rPr>
        <w:t xml:space="preserve"> e per l’</w:t>
      </w:r>
      <w:r w:rsidRPr="00B8548C">
        <w:rPr>
          <w:rFonts w:ascii="Arial" w:hAnsi="Arial" w:cs="Arial"/>
          <w:b/>
          <w:bCs/>
          <w:sz w:val="24"/>
          <w:szCs w:val="24"/>
        </w:rPr>
        <w:t>attrattività</w:t>
      </w:r>
      <w:r w:rsidRPr="00B8548C">
        <w:rPr>
          <w:rFonts w:ascii="Arial" w:hAnsi="Arial" w:cs="Arial"/>
          <w:sz w:val="24"/>
          <w:szCs w:val="24"/>
        </w:rPr>
        <w:t xml:space="preserve"> del nostro sistema economico anche nei confronti degli investitori esteri. La delega fiscale approvata dal governo è</w:t>
      </w:r>
      <w:r w:rsidR="009A16B1">
        <w:rPr>
          <w:rFonts w:ascii="Arial" w:hAnsi="Arial" w:cs="Arial"/>
          <w:sz w:val="24"/>
          <w:szCs w:val="24"/>
        </w:rPr>
        <w:t xml:space="preserve"> da questo punto di vista</w:t>
      </w:r>
      <w:r w:rsidRPr="00B8548C">
        <w:rPr>
          <w:rFonts w:ascii="Arial" w:hAnsi="Arial" w:cs="Arial"/>
          <w:sz w:val="24"/>
          <w:szCs w:val="24"/>
        </w:rPr>
        <w:t xml:space="preserve"> un </w:t>
      </w:r>
      <w:r w:rsidRPr="00436374">
        <w:rPr>
          <w:rFonts w:ascii="Arial" w:hAnsi="Arial" w:cs="Arial"/>
          <w:b/>
          <w:bCs/>
          <w:sz w:val="24"/>
          <w:szCs w:val="24"/>
        </w:rPr>
        <w:t>ottimo punto di partenza</w:t>
      </w:r>
      <w:r w:rsidRPr="00B8548C">
        <w:rPr>
          <w:rFonts w:ascii="Arial" w:hAnsi="Arial" w:cs="Arial"/>
          <w:sz w:val="24"/>
          <w:szCs w:val="24"/>
        </w:rPr>
        <w:t xml:space="preserve">, un progetto </w:t>
      </w:r>
      <w:r w:rsidRPr="00436374">
        <w:rPr>
          <w:rFonts w:ascii="Arial" w:hAnsi="Arial" w:cs="Arial"/>
          <w:b/>
          <w:bCs/>
          <w:sz w:val="24"/>
          <w:szCs w:val="24"/>
        </w:rPr>
        <w:t>ambizioso</w:t>
      </w:r>
      <w:r w:rsidRPr="00B8548C">
        <w:rPr>
          <w:rFonts w:ascii="Arial" w:hAnsi="Arial" w:cs="Arial"/>
          <w:sz w:val="24"/>
          <w:szCs w:val="24"/>
        </w:rPr>
        <w:t xml:space="preserve"> che punta finalmente ad una</w:t>
      </w:r>
      <w:r w:rsidR="00923955">
        <w:rPr>
          <w:rFonts w:ascii="Arial" w:hAnsi="Arial" w:cs="Arial"/>
          <w:sz w:val="24"/>
          <w:szCs w:val="24"/>
        </w:rPr>
        <w:t xml:space="preserve"> </w:t>
      </w:r>
      <w:r w:rsidR="00923955" w:rsidRPr="00B96AF2">
        <w:rPr>
          <w:rFonts w:ascii="Arial" w:hAnsi="Arial" w:cs="Arial"/>
          <w:b/>
          <w:bCs/>
          <w:sz w:val="24"/>
          <w:szCs w:val="24"/>
        </w:rPr>
        <w:t>semplificazione</w:t>
      </w:r>
      <w:r w:rsidR="00923955">
        <w:rPr>
          <w:rFonts w:ascii="Arial" w:hAnsi="Arial" w:cs="Arial"/>
          <w:sz w:val="24"/>
          <w:szCs w:val="24"/>
        </w:rPr>
        <w:t xml:space="preserve"> e a una </w:t>
      </w:r>
      <w:r w:rsidR="00923955" w:rsidRPr="00B96AF2">
        <w:rPr>
          <w:rFonts w:ascii="Arial" w:hAnsi="Arial" w:cs="Arial"/>
          <w:b/>
          <w:bCs/>
          <w:sz w:val="24"/>
          <w:szCs w:val="24"/>
        </w:rPr>
        <w:t>riorganizzazione</w:t>
      </w:r>
      <w:r w:rsidRPr="00B96AF2">
        <w:rPr>
          <w:rFonts w:ascii="Arial" w:hAnsi="Arial" w:cs="Arial"/>
          <w:b/>
          <w:bCs/>
          <w:sz w:val="24"/>
          <w:szCs w:val="24"/>
        </w:rPr>
        <w:t xml:space="preserve"> organica</w:t>
      </w:r>
      <w:r w:rsidRPr="00B8548C">
        <w:rPr>
          <w:rFonts w:ascii="Arial" w:hAnsi="Arial" w:cs="Arial"/>
          <w:sz w:val="24"/>
          <w:szCs w:val="24"/>
        </w:rPr>
        <w:t xml:space="preserve"> del </w:t>
      </w:r>
      <w:r w:rsidR="009A16B1">
        <w:rPr>
          <w:rFonts w:ascii="Arial" w:hAnsi="Arial" w:cs="Arial"/>
          <w:sz w:val="24"/>
          <w:szCs w:val="24"/>
        </w:rPr>
        <w:t xml:space="preserve">nostro </w:t>
      </w:r>
      <w:r w:rsidRPr="00B8548C">
        <w:rPr>
          <w:rFonts w:ascii="Arial" w:hAnsi="Arial" w:cs="Arial"/>
          <w:sz w:val="24"/>
          <w:szCs w:val="24"/>
        </w:rPr>
        <w:t>sistema tributari</w:t>
      </w:r>
      <w:r w:rsidR="009A16B1">
        <w:rPr>
          <w:rFonts w:ascii="Arial" w:hAnsi="Arial" w:cs="Arial"/>
          <w:sz w:val="24"/>
          <w:szCs w:val="24"/>
        </w:rPr>
        <w:t xml:space="preserve">o. Ed è anche </w:t>
      </w:r>
      <w:r w:rsidR="009B0DBA">
        <w:rPr>
          <w:rFonts w:ascii="Arial" w:hAnsi="Arial" w:cs="Arial"/>
          <w:b/>
          <w:bCs/>
          <w:sz w:val="24"/>
          <w:szCs w:val="24"/>
        </w:rPr>
        <w:t>una straordinaria</w:t>
      </w:r>
      <w:r w:rsidR="009A16B1" w:rsidRPr="00B96AF2">
        <w:rPr>
          <w:rFonts w:ascii="Arial" w:hAnsi="Arial" w:cs="Arial"/>
          <w:b/>
          <w:bCs/>
          <w:sz w:val="24"/>
          <w:szCs w:val="24"/>
        </w:rPr>
        <w:t xml:space="preserve"> occasione</w:t>
      </w:r>
      <w:r w:rsidR="009A16B1">
        <w:rPr>
          <w:rFonts w:ascii="Arial" w:hAnsi="Arial" w:cs="Arial"/>
          <w:sz w:val="24"/>
          <w:szCs w:val="24"/>
        </w:rPr>
        <w:t xml:space="preserve"> per mettere il nostro Paese al passo con le economie più evolute, colmando il </w:t>
      </w:r>
      <w:proofErr w:type="gramStart"/>
      <w:r w:rsidR="009A16B1">
        <w:rPr>
          <w:rFonts w:ascii="Arial" w:hAnsi="Arial" w:cs="Arial"/>
          <w:sz w:val="24"/>
          <w:szCs w:val="24"/>
        </w:rPr>
        <w:t>gap</w:t>
      </w:r>
      <w:proofErr w:type="gramEnd"/>
      <w:r w:rsidR="009A16B1">
        <w:rPr>
          <w:rFonts w:ascii="Arial" w:hAnsi="Arial" w:cs="Arial"/>
          <w:sz w:val="24"/>
          <w:szCs w:val="24"/>
        </w:rPr>
        <w:t xml:space="preserve"> di </w:t>
      </w:r>
      <w:r w:rsidR="009A16B1" w:rsidRPr="00B96AF2">
        <w:rPr>
          <w:rFonts w:ascii="Arial" w:hAnsi="Arial" w:cs="Arial"/>
          <w:b/>
          <w:bCs/>
          <w:sz w:val="24"/>
          <w:szCs w:val="24"/>
        </w:rPr>
        <w:t>competitività fiscale</w:t>
      </w:r>
      <w:r w:rsidR="009A16B1">
        <w:rPr>
          <w:rFonts w:ascii="Arial" w:hAnsi="Arial" w:cs="Arial"/>
          <w:sz w:val="24"/>
          <w:szCs w:val="24"/>
        </w:rPr>
        <w:t xml:space="preserve"> che ci penalizza</w:t>
      </w:r>
      <w:r w:rsidR="00923955">
        <w:rPr>
          <w:rFonts w:ascii="Arial" w:hAnsi="Arial" w:cs="Arial"/>
          <w:sz w:val="24"/>
          <w:szCs w:val="24"/>
        </w:rPr>
        <w:t xml:space="preserve"> a livello internazionale</w:t>
      </w:r>
      <w:r w:rsidRPr="00B8548C">
        <w:rPr>
          <w:rFonts w:ascii="Arial" w:hAnsi="Arial" w:cs="Arial"/>
          <w:sz w:val="24"/>
          <w:szCs w:val="24"/>
        </w:rPr>
        <w:t xml:space="preserve">”. È quanto affermato dal Presidente del Consiglio nazionale dei commercialisti, </w:t>
      </w:r>
      <w:r w:rsidRPr="00B8548C">
        <w:rPr>
          <w:rFonts w:ascii="Arial" w:hAnsi="Arial" w:cs="Arial"/>
          <w:b/>
          <w:bCs/>
          <w:sz w:val="24"/>
          <w:szCs w:val="24"/>
        </w:rPr>
        <w:t>Elbano de Nuccio</w:t>
      </w:r>
      <w:r w:rsidRPr="00B8548C">
        <w:rPr>
          <w:rFonts w:ascii="Arial" w:hAnsi="Arial" w:cs="Arial"/>
          <w:sz w:val="24"/>
          <w:szCs w:val="24"/>
        </w:rPr>
        <w:t xml:space="preserve">, </w:t>
      </w:r>
      <w:r w:rsidR="00B8548C" w:rsidRPr="00B8548C">
        <w:rPr>
          <w:rFonts w:ascii="Arial" w:hAnsi="Arial" w:cs="Arial"/>
          <w:sz w:val="24"/>
          <w:szCs w:val="24"/>
        </w:rPr>
        <w:t xml:space="preserve">agli </w:t>
      </w:r>
      <w:r w:rsidRPr="00B8548C">
        <w:rPr>
          <w:rFonts w:ascii="Arial" w:hAnsi="Arial" w:cs="Arial"/>
          <w:sz w:val="24"/>
          <w:szCs w:val="24"/>
        </w:rPr>
        <w:t xml:space="preserve">Stati generali della professione in corso di svolgimento a Roma. </w:t>
      </w:r>
    </w:p>
    <w:p w14:paraId="5DDF5DD7" w14:textId="5BBCC989" w:rsidR="00B96AF2" w:rsidRDefault="00672774" w:rsidP="00B96AF2">
      <w:pPr>
        <w:autoSpaceDE w:val="0"/>
        <w:autoSpaceDN w:val="0"/>
        <w:adjustRightInd w:val="0"/>
        <w:spacing w:before="120" w:after="160"/>
        <w:jc w:val="both"/>
        <w:rPr>
          <w:rFonts w:ascii="Arial" w:hAnsi="Arial" w:cs="Arial"/>
          <w:sz w:val="24"/>
          <w:szCs w:val="24"/>
        </w:rPr>
      </w:pPr>
      <w:r w:rsidRPr="00B8548C">
        <w:rPr>
          <w:rFonts w:ascii="Arial" w:hAnsi="Arial" w:cs="Arial"/>
          <w:sz w:val="24"/>
          <w:szCs w:val="24"/>
        </w:rPr>
        <w:t xml:space="preserve">Il numero uno della categoria professionale ha </w:t>
      </w:r>
      <w:r w:rsidR="009A16B1">
        <w:rPr>
          <w:rFonts w:ascii="Arial" w:hAnsi="Arial" w:cs="Arial"/>
          <w:sz w:val="24"/>
          <w:szCs w:val="24"/>
        </w:rPr>
        <w:t>sottolineato come</w:t>
      </w:r>
      <w:r w:rsidR="00923955">
        <w:rPr>
          <w:rFonts w:ascii="Arial" w:hAnsi="Arial" w:cs="Arial"/>
          <w:sz w:val="24"/>
          <w:szCs w:val="24"/>
        </w:rPr>
        <w:t xml:space="preserve"> </w:t>
      </w:r>
      <w:r w:rsidR="00923955" w:rsidRPr="008A6F61">
        <w:rPr>
          <w:rFonts w:ascii="Arial" w:hAnsi="Arial" w:cs="Arial"/>
          <w:sz w:val="24"/>
          <w:szCs w:val="24"/>
        </w:rPr>
        <w:t xml:space="preserve">i </w:t>
      </w:r>
      <w:r w:rsidR="00923955">
        <w:rPr>
          <w:rFonts w:ascii="Arial" w:hAnsi="Arial" w:cs="Arial"/>
          <w:sz w:val="24"/>
          <w:szCs w:val="24"/>
        </w:rPr>
        <w:t xml:space="preserve">commercialisti abbiano avuto in questi mesi “una </w:t>
      </w:r>
      <w:r w:rsidR="00923955" w:rsidRPr="00B96AF2">
        <w:rPr>
          <w:rFonts w:ascii="Arial" w:hAnsi="Arial" w:cs="Arial"/>
          <w:b/>
          <w:bCs/>
          <w:sz w:val="24"/>
          <w:szCs w:val="24"/>
        </w:rPr>
        <w:t>intensa e costruttiva interlocuzione</w:t>
      </w:r>
      <w:r w:rsidR="00923955">
        <w:rPr>
          <w:rFonts w:ascii="Arial" w:hAnsi="Arial" w:cs="Arial"/>
          <w:sz w:val="24"/>
          <w:szCs w:val="24"/>
        </w:rPr>
        <w:t xml:space="preserve"> con l’esecutivo” e che tutte le proposte avanzate dalla categoria “sono state </w:t>
      </w:r>
      <w:r w:rsidR="00923955" w:rsidRPr="00B96AF2">
        <w:rPr>
          <w:rFonts w:ascii="Arial" w:hAnsi="Arial" w:cs="Arial"/>
          <w:b/>
          <w:bCs/>
          <w:sz w:val="24"/>
          <w:szCs w:val="24"/>
        </w:rPr>
        <w:t>riprese nella delega</w:t>
      </w:r>
      <w:r w:rsidR="00923955">
        <w:rPr>
          <w:rFonts w:ascii="Arial" w:hAnsi="Arial" w:cs="Arial"/>
          <w:sz w:val="24"/>
          <w:szCs w:val="24"/>
        </w:rPr>
        <w:t xml:space="preserve">”. </w:t>
      </w:r>
    </w:p>
    <w:p w14:paraId="2E69562F" w14:textId="1E1F8895" w:rsidR="00B96AF2" w:rsidRPr="00B96AF2" w:rsidRDefault="00923955" w:rsidP="00B96AF2">
      <w:pPr>
        <w:jc w:val="both"/>
        <w:rPr>
          <w:rFonts w:ascii="Arial" w:hAnsi="Arial" w:cs="Arial"/>
          <w:sz w:val="24"/>
          <w:szCs w:val="24"/>
        </w:rPr>
      </w:pPr>
      <w:r w:rsidRPr="00B96AF2">
        <w:rPr>
          <w:rFonts w:ascii="Arial" w:hAnsi="Arial" w:cs="Arial"/>
          <w:sz w:val="24"/>
          <w:szCs w:val="24"/>
        </w:rPr>
        <w:t>“Vedremo quale sarà l’assetto finale che si vorrà dare all</w:t>
      </w:r>
      <w:r w:rsidR="005C3276">
        <w:rPr>
          <w:rFonts w:ascii="Arial" w:hAnsi="Arial" w:cs="Arial"/>
          <w:sz w:val="24"/>
          <w:szCs w:val="24"/>
        </w:rPr>
        <w:t>a curva dell</w:t>
      </w:r>
      <w:r w:rsidRPr="00B96AF2">
        <w:rPr>
          <w:rFonts w:ascii="Arial" w:hAnsi="Arial" w:cs="Arial"/>
          <w:sz w:val="24"/>
          <w:szCs w:val="24"/>
        </w:rPr>
        <w:t xml:space="preserve">e </w:t>
      </w:r>
      <w:r w:rsidRPr="00B96AF2">
        <w:rPr>
          <w:rFonts w:ascii="Arial" w:hAnsi="Arial" w:cs="Arial"/>
          <w:b/>
          <w:bCs/>
          <w:sz w:val="24"/>
          <w:szCs w:val="24"/>
        </w:rPr>
        <w:t>aliquote Irpef</w:t>
      </w:r>
      <w:r w:rsidRPr="00B96AF2">
        <w:rPr>
          <w:rFonts w:ascii="Arial" w:hAnsi="Arial" w:cs="Arial"/>
          <w:sz w:val="24"/>
          <w:szCs w:val="24"/>
        </w:rPr>
        <w:t xml:space="preserve"> – ha proseguito -, ma per noi una reale semplificazione del sistema non passa tanto o solo attraverso il numero delle aliquote</w:t>
      </w:r>
      <w:r w:rsidR="00B96AF2" w:rsidRPr="00B96AF2">
        <w:rPr>
          <w:rFonts w:ascii="Arial" w:hAnsi="Arial" w:cs="Arial"/>
          <w:sz w:val="24"/>
          <w:szCs w:val="24"/>
        </w:rPr>
        <w:t xml:space="preserve">, ma soprattutto per lo </w:t>
      </w:r>
      <w:r w:rsidR="00B96AF2" w:rsidRPr="00B96AF2">
        <w:rPr>
          <w:rFonts w:ascii="Arial" w:hAnsi="Arial" w:cs="Arial"/>
          <w:b/>
          <w:bCs/>
          <w:sz w:val="24"/>
          <w:szCs w:val="24"/>
        </w:rPr>
        <w:t>sfoltimento normativo</w:t>
      </w:r>
      <w:r w:rsidR="00B96AF2" w:rsidRPr="00B96AF2">
        <w:rPr>
          <w:rFonts w:ascii="Arial" w:hAnsi="Arial" w:cs="Arial"/>
          <w:sz w:val="24"/>
          <w:szCs w:val="24"/>
        </w:rPr>
        <w:t xml:space="preserve"> e per la </w:t>
      </w:r>
      <w:r w:rsidR="00B96AF2" w:rsidRPr="00B96AF2">
        <w:rPr>
          <w:rFonts w:ascii="Arial" w:hAnsi="Arial" w:cs="Arial"/>
          <w:b/>
          <w:bCs/>
          <w:sz w:val="24"/>
          <w:szCs w:val="24"/>
        </w:rPr>
        <w:t>semplificazione dell</w:t>
      </w:r>
      <w:r w:rsidR="009B0DBA">
        <w:rPr>
          <w:rFonts w:ascii="Arial" w:hAnsi="Arial" w:cs="Arial"/>
          <w:b/>
          <w:bCs/>
          <w:sz w:val="24"/>
          <w:szCs w:val="24"/>
        </w:rPr>
        <w:t>e regole di determinazione della</w:t>
      </w:r>
      <w:r w:rsidR="00B96AF2" w:rsidRPr="00B96AF2">
        <w:rPr>
          <w:rFonts w:ascii="Arial" w:hAnsi="Arial" w:cs="Arial"/>
          <w:b/>
          <w:bCs/>
          <w:sz w:val="24"/>
          <w:szCs w:val="24"/>
        </w:rPr>
        <w:t xml:space="preserve"> base imponibile</w:t>
      </w:r>
      <w:r w:rsidR="00B96AF2" w:rsidRPr="00B96AF2">
        <w:rPr>
          <w:rFonts w:ascii="Arial" w:hAnsi="Arial" w:cs="Arial"/>
          <w:sz w:val="24"/>
          <w:szCs w:val="24"/>
        </w:rPr>
        <w:t xml:space="preserve">”. </w:t>
      </w:r>
      <w:r w:rsidR="00B96AF2">
        <w:rPr>
          <w:rFonts w:ascii="Arial" w:hAnsi="Arial" w:cs="Arial"/>
          <w:sz w:val="24"/>
          <w:szCs w:val="24"/>
        </w:rPr>
        <w:t>Tra gli obiettivi pri</w:t>
      </w:r>
      <w:r w:rsidR="008F654F">
        <w:rPr>
          <w:rFonts w:ascii="Arial" w:hAnsi="Arial" w:cs="Arial"/>
          <w:sz w:val="24"/>
          <w:szCs w:val="24"/>
        </w:rPr>
        <w:t>ncipali</w:t>
      </w:r>
      <w:r w:rsidR="00B96AF2">
        <w:rPr>
          <w:rFonts w:ascii="Arial" w:hAnsi="Arial" w:cs="Arial"/>
          <w:sz w:val="24"/>
          <w:szCs w:val="24"/>
        </w:rPr>
        <w:t xml:space="preserve"> da perseguire per la categoria c’è quell</w:t>
      </w:r>
      <w:r w:rsidR="008F654F">
        <w:rPr>
          <w:rFonts w:ascii="Arial" w:hAnsi="Arial" w:cs="Arial"/>
          <w:sz w:val="24"/>
          <w:szCs w:val="24"/>
        </w:rPr>
        <w:t>o</w:t>
      </w:r>
      <w:r w:rsidR="00B96AF2">
        <w:rPr>
          <w:rFonts w:ascii="Arial" w:hAnsi="Arial" w:cs="Arial"/>
          <w:sz w:val="24"/>
          <w:szCs w:val="24"/>
        </w:rPr>
        <w:t xml:space="preserve"> di “</w:t>
      </w:r>
      <w:r w:rsidR="00B96AF2" w:rsidRPr="00B96AF2">
        <w:rPr>
          <w:rFonts w:ascii="Arial" w:hAnsi="Arial" w:cs="Arial"/>
          <w:sz w:val="24"/>
          <w:szCs w:val="24"/>
        </w:rPr>
        <w:t xml:space="preserve">una maggiore </w:t>
      </w:r>
      <w:r w:rsidR="00B96AF2" w:rsidRPr="00B96AF2">
        <w:rPr>
          <w:rFonts w:ascii="Arial" w:hAnsi="Arial" w:cs="Arial"/>
          <w:b/>
          <w:sz w:val="24"/>
          <w:szCs w:val="24"/>
        </w:rPr>
        <w:t>equità orizzontale</w:t>
      </w:r>
      <w:r w:rsidR="00B96AF2" w:rsidRPr="00B96AF2">
        <w:rPr>
          <w:rFonts w:ascii="Arial" w:hAnsi="Arial" w:cs="Arial"/>
          <w:sz w:val="24"/>
          <w:szCs w:val="24"/>
        </w:rPr>
        <w:t xml:space="preserve"> </w:t>
      </w:r>
      <w:r w:rsidR="008F654F" w:rsidRPr="00B96AF2">
        <w:rPr>
          <w:rFonts w:ascii="Arial" w:hAnsi="Arial" w:cs="Arial"/>
          <w:sz w:val="24"/>
          <w:szCs w:val="24"/>
        </w:rPr>
        <w:t>dell’Irpef</w:t>
      </w:r>
      <w:r w:rsidR="008F654F">
        <w:rPr>
          <w:rFonts w:ascii="Arial" w:hAnsi="Arial" w:cs="Arial"/>
          <w:sz w:val="24"/>
          <w:szCs w:val="24"/>
        </w:rPr>
        <w:t xml:space="preserve"> </w:t>
      </w:r>
      <w:r w:rsidR="00B96AF2">
        <w:rPr>
          <w:rFonts w:ascii="Arial" w:eastAsia="Calibri" w:hAnsi="Arial" w:cs="Arial"/>
          <w:sz w:val="24"/>
          <w:szCs w:val="24"/>
        </w:rPr>
        <w:t xml:space="preserve">che sia in grado di assicurare </w:t>
      </w:r>
      <w:r w:rsidR="00B96AF2" w:rsidRPr="008F654F">
        <w:rPr>
          <w:rFonts w:ascii="Arial" w:eastAsia="Calibri" w:hAnsi="Arial" w:cs="Arial"/>
          <w:b/>
          <w:bCs/>
          <w:sz w:val="24"/>
          <w:szCs w:val="24"/>
        </w:rPr>
        <w:t>parità di tassazione a parità di reddito</w:t>
      </w:r>
      <w:r w:rsidR="008F654F">
        <w:rPr>
          <w:rFonts w:ascii="Arial" w:eastAsia="Calibri" w:hAnsi="Arial" w:cs="Arial"/>
          <w:sz w:val="24"/>
          <w:szCs w:val="24"/>
        </w:rPr>
        <w:t xml:space="preserve">”. </w:t>
      </w:r>
    </w:p>
    <w:p w14:paraId="5B96046A" w14:textId="77777777" w:rsidR="008A6F61" w:rsidRDefault="008A6F61" w:rsidP="00DF246E">
      <w:pPr>
        <w:jc w:val="both"/>
        <w:rPr>
          <w:rFonts w:ascii="Arial" w:hAnsi="Arial" w:cs="Arial"/>
          <w:sz w:val="24"/>
          <w:szCs w:val="24"/>
        </w:rPr>
      </w:pPr>
    </w:p>
    <w:p w14:paraId="6267C149" w14:textId="186A4A5C" w:rsidR="00DF246E" w:rsidRDefault="00193471" w:rsidP="00DF246E">
      <w:pPr>
        <w:jc w:val="both"/>
        <w:rPr>
          <w:rFonts w:ascii="Arial" w:hAnsi="Arial" w:cs="Arial"/>
          <w:sz w:val="24"/>
          <w:szCs w:val="24"/>
        </w:rPr>
      </w:pPr>
      <w:r w:rsidRPr="00193471">
        <w:rPr>
          <w:rFonts w:ascii="Arial" w:hAnsi="Arial" w:cs="Arial"/>
          <w:sz w:val="24"/>
          <w:szCs w:val="24"/>
        </w:rPr>
        <w:t xml:space="preserve">Per quanto concerne l’imposta sul reddito delle società, </w:t>
      </w:r>
      <w:r w:rsidR="00A67F45">
        <w:rPr>
          <w:rFonts w:ascii="Arial" w:hAnsi="Arial" w:cs="Arial"/>
          <w:sz w:val="24"/>
          <w:szCs w:val="24"/>
        </w:rPr>
        <w:t xml:space="preserve">di </w:t>
      </w:r>
      <w:r w:rsidR="008A6F61">
        <w:rPr>
          <w:rFonts w:ascii="Arial" w:hAnsi="Arial" w:cs="Arial"/>
          <w:sz w:val="24"/>
          <w:szCs w:val="24"/>
        </w:rPr>
        <w:t>“</w:t>
      </w:r>
      <w:r w:rsidR="00A67F45">
        <w:rPr>
          <w:rFonts w:ascii="Arial" w:hAnsi="Arial" w:cs="Arial"/>
          <w:sz w:val="24"/>
          <w:szCs w:val="24"/>
        </w:rPr>
        <w:t>estrema rilevanza</w:t>
      </w:r>
      <w:r w:rsidR="008A6F61">
        <w:rPr>
          <w:rFonts w:ascii="Arial" w:hAnsi="Arial" w:cs="Arial"/>
          <w:sz w:val="24"/>
          <w:szCs w:val="24"/>
        </w:rPr>
        <w:t>”, per de Nuccio,</w:t>
      </w:r>
      <w:r w:rsidR="00A67F45">
        <w:rPr>
          <w:rFonts w:ascii="Arial" w:hAnsi="Arial" w:cs="Arial"/>
          <w:sz w:val="24"/>
          <w:szCs w:val="24"/>
        </w:rPr>
        <w:t xml:space="preserve"> </w:t>
      </w:r>
      <w:r w:rsidR="008A6F61">
        <w:rPr>
          <w:rFonts w:ascii="Arial" w:hAnsi="Arial" w:cs="Arial"/>
          <w:sz w:val="24"/>
          <w:szCs w:val="24"/>
        </w:rPr>
        <w:t>“</w:t>
      </w:r>
      <w:r w:rsidR="00A67F45">
        <w:rPr>
          <w:rFonts w:ascii="Arial" w:hAnsi="Arial" w:cs="Arial"/>
          <w:sz w:val="24"/>
          <w:szCs w:val="24"/>
        </w:rPr>
        <w:t xml:space="preserve">è </w:t>
      </w:r>
      <w:r w:rsidRPr="00193471">
        <w:rPr>
          <w:rFonts w:ascii="Arial" w:hAnsi="Arial" w:cs="Arial"/>
          <w:sz w:val="24"/>
          <w:szCs w:val="24"/>
        </w:rPr>
        <w:t xml:space="preserve">la prevista </w:t>
      </w:r>
      <w:r w:rsidRPr="008A6F61">
        <w:rPr>
          <w:rFonts w:ascii="Arial" w:hAnsi="Arial" w:cs="Arial"/>
          <w:b/>
          <w:bCs/>
          <w:sz w:val="24"/>
          <w:szCs w:val="24"/>
        </w:rPr>
        <w:t>riduzione dell’aliquota</w:t>
      </w:r>
      <w:r w:rsidRPr="00193471">
        <w:rPr>
          <w:rFonts w:ascii="Arial" w:hAnsi="Arial" w:cs="Arial"/>
          <w:sz w:val="24"/>
          <w:szCs w:val="24"/>
        </w:rPr>
        <w:t xml:space="preserve"> in caso di impiego degli </w:t>
      </w:r>
      <w:r w:rsidRPr="008A6F61">
        <w:rPr>
          <w:rFonts w:ascii="Arial" w:hAnsi="Arial" w:cs="Arial"/>
          <w:b/>
          <w:bCs/>
          <w:sz w:val="24"/>
          <w:szCs w:val="24"/>
        </w:rPr>
        <w:t xml:space="preserve">utili in investimenti e nuove assunzioni </w:t>
      </w:r>
      <w:r w:rsidRPr="00193471">
        <w:rPr>
          <w:rFonts w:ascii="Arial" w:hAnsi="Arial" w:cs="Arial"/>
          <w:sz w:val="24"/>
          <w:szCs w:val="24"/>
        </w:rPr>
        <w:t xml:space="preserve">entro i due </w:t>
      </w:r>
      <w:r w:rsidR="00DF246E">
        <w:rPr>
          <w:rFonts w:ascii="Arial" w:hAnsi="Arial" w:cs="Arial"/>
          <w:sz w:val="24"/>
          <w:szCs w:val="24"/>
        </w:rPr>
        <w:t xml:space="preserve">anni </w:t>
      </w:r>
      <w:r w:rsidRPr="00193471">
        <w:rPr>
          <w:rFonts w:ascii="Arial" w:hAnsi="Arial" w:cs="Arial"/>
          <w:sz w:val="24"/>
          <w:szCs w:val="24"/>
        </w:rPr>
        <w:t>successivi</w:t>
      </w:r>
      <w:r>
        <w:rPr>
          <w:rFonts w:ascii="Arial" w:hAnsi="Arial" w:cs="Arial"/>
          <w:sz w:val="24"/>
          <w:szCs w:val="24"/>
        </w:rPr>
        <w:t xml:space="preserve">. La misura </w:t>
      </w:r>
      <w:r w:rsidR="00DF246E" w:rsidRPr="00DF246E">
        <w:rPr>
          <w:rFonts w:ascii="Arial" w:hAnsi="Arial" w:cs="Arial"/>
          <w:sz w:val="24"/>
          <w:szCs w:val="24"/>
        </w:rPr>
        <w:t>ha l’evidente scopo di favorire la</w:t>
      </w:r>
      <w:r w:rsidR="00DF246E">
        <w:rPr>
          <w:rFonts w:ascii="Arial" w:hAnsi="Arial" w:cs="Arial"/>
          <w:sz w:val="24"/>
          <w:szCs w:val="24"/>
        </w:rPr>
        <w:t xml:space="preserve"> </w:t>
      </w:r>
      <w:r w:rsidR="00DF246E" w:rsidRPr="00DF246E">
        <w:rPr>
          <w:rFonts w:ascii="Arial" w:hAnsi="Arial" w:cs="Arial"/>
          <w:sz w:val="24"/>
          <w:szCs w:val="24"/>
        </w:rPr>
        <w:t xml:space="preserve">crescita economica e l’incremento della base occupazionale, </w:t>
      </w:r>
      <w:r w:rsidR="00DF246E">
        <w:rPr>
          <w:rFonts w:ascii="Arial" w:hAnsi="Arial" w:cs="Arial"/>
          <w:sz w:val="24"/>
          <w:szCs w:val="24"/>
        </w:rPr>
        <w:t xml:space="preserve">con un importante elemento di novità rispetto al passato dovuto al fatto che </w:t>
      </w:r>
      <w:r w:rsidR="00DF246E" w:rsidRPr="00DF246E">
        <w:rPr>
          <w:rFonts w:ascii="Arial" w:hAnsi="Arial" w:cs="Arial"/>
          <w:sz w:val="24"/>
          <w:szCs w:val="24"/>
        </w:rPr>
        <w:t>la riduzione dell’aliquota precede l’effettuazione degli</w:t>
      </w:r>
      <w:r w:rsidR="00DF246E">
        <w:rPr>
          <w:rFonts w:ascii="Arial" w:hAnsi="Arial" w:cs="Arial"/>
          <w:sz w:val="24"/>
          <w:szCs w:val="24"/>
        </w:rPr>
        <w:t xml:space="preserve"> </w:t>
      </w:r>
      <w:r w:rsidR="00DF246E" w:rsidRPr="00DF246E">
        <w:rPr>
          <w:rFonts w:ascii="Arial" w:hAnsi="Arial" w:cs="Arial"/>
          <w:sz w:val="24"/>
          <w:szCs w:val="24"/>
        </w:rPr>
        <w:t>investimenti</w:t>
      </w:r>
      <w:r w:rsidR="00DF246E">
        <w:rPr>
          <w:rFonts w:ascii="Arial" w:hAnsi="Arial" w:cs="Arial"/>
          <w:sz w:val="24"/>
          <w:szCs w:val="24"/>
        </w:rPr>
        <w:t xml:space="preserve">, anziché seguire gli stessi. Un segnale decisivo per </w:t>
      </w:r>
      <w:r w:rsidR="00DF246E" w:rsidRPr="00DF246E">
        <w:rPr>
          <w:rFonts w:ascii="Arial" w:hAnsi="Arial" w:cs="Arial"/>
          <w:sz w:val="24"/>
          <w:szCs w:val="24"/>
        </w:rPr>
        <w:t xml:space="preserve">favorire la </w:t>
      </w:r>
      <w:r w:rsidR="00DF246E" w:rsidRPr="008A6F61">
        <w:rPr>
          <w:rFonts w:ascii="Arial" w:hAnsi="Arial" w:cs="Arial"/>
          <w:b/>
          <w:bCs/>
          <w:sz w:val="24"/>
          <w:szCs w:val="24"/>
        </w:rPr>
        <w:t>competitività</w:t>
      </w:r>
      <w:r w:rsidR="00DF246E" w:rsidRPr="00DF246E">
        <w:rPr>
          <w:rFonts w:ascii="Arial" w:hAnsi="Arial" w:cs="Arial"/>
          <w:sz w:val="24"/>
          <w:szCs w:val="24"/>
        </w:rPr>
        <w:t xml:space="preserve"> delle imprese e aumentare</w:t>
      </w:r>
      <w:r w:rsidR="00DF246E">
        <w:rPr>
          <w:rFonts w:ascii="Arial" w:hAnsi="Arial" w:cs="Arial"/>
          <w:sz w:val="24"/>
          <w:szCs w:val="24"/>
        </w:rPr>
        <w:t xml:space="preserve"> </w:t>
      </w:r>
      <w:r w:rsidR="00DF246E" w:rsidRPr="00DF246E">
        <w:rPr>
          <w:rFonts w:ascii="Arial" w:hAnsi="Arial" w:cs="Arial"/>
          <w:sz w:val="24"/>
          <w:szCs w:val="24"/>
        </w:rPr>
        <w:t>l’</w:t>
      </w:r>
      <w:r w:rsidR="00DF246E" w:rsidRPr="008A6F61">
        <w:rPr>
          <w:rFonts w:ascii="Arial" w:hAnsi="Arial" w:cs="Arial"/>
          <w:b/>
          <w:bCs/>
          <w:sz w:val="24"/>
          <w:szCs w:val="24"/>
        </w:rPr>
        <w:t xml:space="preserve">attrattività </w:t>
      </w:r>
      <w:r w:rsidR="00DF246E" w:rsidRPr="00DF246E">
        <w:rPr>
          <w:rFonts w:ascii="Arial" w:hAnsi="Arial" w:cs="Arial"/>
          <w:sz w:val="24"/>
          <w:szCs w:val="24"/>
        </w:rPr>
        <w:t xml:space="preserve">del </w:t>
      </w:r>
      <w:r w:rsidR="00A67F45">
        <w:rPr>
          <w:rFonts w:ascii="Arial" w:hAnsi="Arial" w:cs="Arial"/>
          <w:sz w:val="24"/>
          <w:szCs w:val="24"/>
        </w:rPr>
        <w:t xml:space="preserve">nostro </w:t>
      </w:r>
      <w:r w:rsidR="00DF246E" w:rsidRPr="00DF246E">
        <w:rPr>
          <w:rFonts w:ascii="Arial" w:hAnsi="Arial" w:cs="Arial"/>
          <w:sz w:val="24"/>
          <w:szCs w:val="24"/>
        </w:rPr>
        <w:t>sistema-Paese per gli investitori, anche esteri</w:t>
      </w:r>
      <w:r w:rsidR="008A6F61">
        <w:rPr>
          <w:rFonts w:ascii="Arial" w:hAnsi="Arial" w:cs="Arial"/>
          <w:sz w:val="24"/>
          <w:szCs w:val="24"/>
        </w:rPr>
        <w:t>”</w:t>
      </w:r>
      <w:r w:rsidR="00A67F45">
        <w:rPr>
          <w:rFonts w:ascii="Arial" w:hAnsi="Arial" w:cs="Arial"/>
          <w:sz w:val="24"/>
          <w:szCs w:val="24"/>
        </w:rPr>
        <w:t>.</w:t>
      </w:r>
      <w:r w:rsidR="009B0DBA">
        <w:rPr>
          <w:rFonts w:ascii="Arial" w:hAnsi="Arial" w:cs="Arial"/>
          <w:sz w:val="24"/>
          <w:szCs w:val="24"/>
        </w:rPr>
        <w:t xml:space="preserve"> </w:t>
      </w:r>
      <w:r w:rsidR="00F91DB0">
        <w:rPr>
          <w:rFonts w:ascii="Arial" w:hAnsi="Arial" w:cs="Arial"/>
          <w:sz w:val="24"/>
          <w:szCs w:val="24"/>
        </w:rPr>
        <w:t>Altrettanto rilevanti</w:t>
      </w:r>
      <w:r w:rsidR="009B0DBA">
        <w:rPr>
          <w:rFonts w:ascii="Arial" w:hAnsi="Arial" w:cs="Arial"/>
          <w:sz w:val="24"/>
          <w:szCs w:val="24"/>
        </w:rPr>
        <w:t xml:space="preserve"> sono “le previsioni volte a ridurre il </w:t>
      </w:r>
      <w:r w:rsidR="009B0DBA" w:rsidRPr="009B0DBA">
        <w:rPr>
          <w:rFonts w:ascii="Arial" w:hAnsi="Arial" w:cs="Arial"/>
          <w:b/>
          <w:bCs/>
          <w:sz w:val="24"/>
          <w:szCs w:val="24"/>
        </w:rPr>
        <w:t>doppio binario civilistico-fiscale</w:t>
      </w:r>
      <w:r w:rsidR="009B0DBA">
        <w:rPr>
          <w:rFonts w:ascii="Arial" w:hAnsi="Arial" w:cs="Arial"/>
          <w:sz w:val="24"/>
          <w:szCs w:val="24"/>
        </w:rPr>
        <w:t xml:space="preserve"> e a razionalizzare i procedimenti di accertamento e il sistema sanzionatorio, nel rispetto di principi </w:t>
      </w:r>
      <w:r w:rsidR="00FB2CAF">
        <w:rPr>
          <w:rFonts w:ascii="Arial" w:hAnsi="Arial" w:cs="Arial"/>
          <w:sz w:val="24"/>
          <w:szCs w:val="24"/>
        </w:rPr>
        <w:t>della certezza</w:t>
      </w:r>
      <w:r w:rsidR="009B0DBA">
        <w:rPr>
          <w:rFonts w:ascii="Arial" w:hAnsi="Arial" w:cs="Arial"/>
          <w:sz w:val="24"/>
          <w:szCs w:val="24"/>
        </w:rPr>
        <w:t xml:space="preserve"> del diritto e dell’affidamento dei </w:t>
      </w:r>
      <w:r w:rsidR="00FB2CAF">
        <w:rPr>
          <w:rFonts w:ascii="Arial" w:hAnsi="Arial" w:cs="Arial"/>
          <w:sz w:val="24"/>
          <w:szCs w:val="24"/>
        </w:rPr>
        <w:t>contribuenti”</w:t>
      </w:r>
      <w:r w:rsidR="009B0DBA">
        <w:rPr>
          <w:rFonts w:ascii="Arial" w:hAnsi="Arial" w:cs="Arial"/>
          <w:sz w:val="24"/>
          <w:szCs w:val="24"/>
        </w:rPr>
        <w:t>.</w:t>
      </w:r>
    </w:p>
    <w:p w14:paraId="1EE36553" w14:textId="77777777" w:rsidR="00193471" w:rsidRPr="00193471" w:rsidRDefault="00193471" w:rsidP="00193471">
      <w:pPr>
        <w:jc w:val="both"/>
        <w:rPr>
          <w:rFonts w:ascii="Arial" w:hAnsi="Arial" w:cs="Arial"/>
          <w:sz w:val="24"/>
          <w:szCs w:val="24"/>
        </w:rPr>
      </w:pPr>
    </w:p>
    <w:p w14:paraId="496F5FDF" w14:textId="573981A0" w:rsidR="008F654F" w:rsidRPr="008F654F" w:rsidRDefault="00436374" w:rsidP="008F654F">
      <w:pPr>
        <w:jc w:val="both"/>
        <w:rPr>
          <w:rFonts w:ascii="Arial" w:hAnsi="Arial" w:cs="Arial"/>
          <w:sz w:val="24"/>
          <w:szCs w:val="24"/>
        </w:rPr>
      </w:pPr>
      <w:r w:rsidRPr="008F654F">
        <w:rPr>
          <w:rFonts w:ascii="Arial" w:eastAsia="Calibri" w:hAnsi="Arial" w:cs="Arial"/>
          <w:sz w:val="24"/>
          <w:szCs w:val="24"/>
        </w:rPr>
        <w:lastRenderedPageBreak/>
        <w:t>Tra le</w:t>
      </w:r>
      <w:r w:rsidR="00923955" w:rsidRPr="008F654F">
        <w:rPr>
          <w:rFonts w:ascii="Arial" w:eastAsia="Calibri" w:hAnsi="Arial" w:cs="Arial"/>
          <w:sz w:val="24"/>
          <w:szCs w:val="24"/>
        </w:rPr>
        <w:t xml:space="preserve"> misure presenti nella delega giudicate </w:t>
      </w:r>
      <w:r w:rsidRPr="008F654F">
        <w:rPr>
          <w:rFonts w:ascii="Arial" w:eastAsia="Calibri" w:hAnsi="Arial" w:cs="Arial"/>
          <w:sz w:val="24"/>
          <w:szCs w:val="24"/>
        </w:rPr>
        <w:t xml:space="preserve">dai </w:t>
      </w:r>
      <w:r w:rsidR="00B8548C" w:rsidRPr="008F654F">
        <w:rPr>
          <w:rFonts w:ascii="Arial" w:eastAsia="Calibri" w:hAnsi="Arial" w:cs="Arial"/>
          <w:sz w:val="24"/>
          <w:szCs w:val="24"/>
        </w:rPr>
        <w:t>commercialisti</w:t>
      </w:r>
      <w:r w:rsidR="00923955" w:rsidRPr="008F654F">
        <w:rPr>
          <w:rFonts w:ascii="Arial" w:eastAsia="Calibri" w:hAnsi="Arial" w:cs="Arial"/>
          <w:sz w:val="24"/>
          <w:szCs w:val="24"/>
        </w:rPr>
        <w:t xml:space="preserve"> “prioritarie”</w:t>
      </w:r>
      <w:r w:rsidR="00B8548C" w:rsidRPr="008F654F">
        <w:rPr>
          <w:rFonts w:ascii="Arial" w:eastAsia="Calibri" w:hAnsi="Arial" w:cs="Arial"/>
          <w:sz w:val="24"/>
          <w:szCs w:val="24"/>
        </w:rPr>
        <w:t xml:space="preserve"> </w:t>
      </w:r>
      <w:r w:rsidRPr="008F654F">
        <w:rPr>
          <w:rFonts w:ascii="Arial" w:eastAsia="Calibri" w:hAnsi="Arial" w:cs="Arial"/>
          <w:sz w:val="24"/>
          <w:szCs w:val="24"/>
        </w:rPr>
        <w:t>c</w:t>
      </w:r>
      <w:r w:rsidR="008F654F" w:rsidRPr="008F654F">
        <w:rPr>
          <w:rFonts w:ascii="Arial" w:eastAsia="Calibri" w:hAnsi="Arial" w:cs="Arial"/>
          <w:sz w:val="24"/>
          <w:szCs w:val="24"/>
        </w:rPr>
        <w:t>i sono</w:t>
      </w:r>
      <w:r w:rsidR="00B8548C" w:rsidRPr="008F654F">
        <w:rPr>
          <w:rFonts w:ascii="Arial" w:eastAsia="Calibri" w:hAnsi="Arial" w:cs="Arial"/>
          <w:sz w:val="24"/>
          <w:szCs w:val="24"/>
        </w:rPr>
        <w:t xml:space="preserve"> </w:t>
      </w:r>
      <w:r w:rsidR="008F654F" w:rsidRPr="008F654F">
        <w:rPr>
          <w:rFonts w:ascii="Arial" w:eastAsia="Calibri" w:hAnsi="Arial" w:cs="Arial"/>
          <w:sz w:val="24"/>
          <w:szCs w:val="24"/>
        </w:rPr>
        <w:t xml:space="preserve">poi </w:t>
      </w:r>
      <w:r w:rsidR="00B8548C" w:rsidRPr="008F654F">
        <w:rPr>
          <w:rFonts w:ascii="Arial" w:eastAsia="Calibri" w:hAnsi="Arial" w:cs="Arial"/>
          <w:sz w:val="24"/>
          <w:szCs w:val="24"/>
        </w:rPr>
        <w:t>il passaggio dall’</w:t>
      </w:r>
      <w:r w:rsidR="00B8548C" w:rsidRPr="008F654F">
        <w:rPr>
          <w:rFonts w:ascii="Arial" w:eastAsia="Calibri" w:hAnsi="Arial" w:cs="Arial"/>
          <w:b/>
          <w:bCs/>
          <w:sz w:val="24"/>
          <w:szCs w:val="24"/>
        </w:rPr>
        <w:t>Irap</w:t>
      </w:r>
      <w:r w:rsidR="00B8548C" w:rsidRPr="008F654F">
        <w:rPr>
          <w:rFonts w:ascii="Arial" w:eastAsia="Calibri" w:hAnsi="Arial" w:cs="Arial"/>
          <w:sz w:val="24"/>
          <w:szCs w:val="24"/>
        </w:rPr>
        <w:t xml:space="preserve"> a una più semplice e funzionale </w:t>
      </w:r>
      <w:r w:rsidR="00B8548C" w:rsidRPr="008F654F">
        <w:rPr>
          <w:rFonts w:ascii="Arial" w:eastAsia="Calibri" w:hAnsi="Arial" w:cs="Arial"/>
          <w:b/>
          <w:bCs/>
          <w:sz w:val="24"/>
          <w:szCs w:val="24"/>
        </w:rPr>
        <w:t>addizionale dell’IRES</w:t>
      </w:r>
      <w:r w:rsidR="00B8548C" w:rsidRPr="008F654F">
        <w:rPr>
          <w:rFonts w:ascii="Arial" w:eastAsia="Calibri" w:hAnsi="Arial" w:cs="Arial"/>
          <w:sz w:val="24"/>
          <w:szCs w:val="24"/>
        </w:rPr>
        <w:t xml:space="preserve">, la tanto attesa codificazione del principio di </w:t>
      </w:r>
      <w:r w:rsidR="00B8548C" w:rsidRPr="008F654F">
        <w:rPr>
          <w:rFonts w:ascii="Arial" w:eastAsia="Calibri" w:hAnsi="Arial" w:cs="Arial"/>
          <w:b/>
          <w:bCs/>
          <w:sz w:val="24"/>
          <w:szCs w:val="24"/>
        </w:rPr>
        <w:t>neutralità fiscale</w:t>
      </w:r>
      <w:r w:rsidR="00B8548C" w:rsidRPr="008F654F">
        <w:rPr>
          <w:rFonts w:ascii="Arial" w:eastAsia="Calibri" w:hAnsi="Arial" w:cs="Arial"/>
          <w:sz w:val="24"/>
          <w:szCs w:val="24"/>
        </w:rPr>
        <w:t xml:space="preserve"> delle operazioni di riorganizzazione degli studi associati in società tra professionisti</w:t>
      </w:r>
      <w:r w:rsidR="008F654F" w:rsidRPr="008F654F">
        <w:rPr>
          <w:rFonts w:ascii="Arial" w:eastAsia="Calibri" w:hAnsi="Arial" w:cs="Arial"/>
          <w:sz w:val="24"/>
          <w:szCs w:val="24"/>
        </w:rPr>
        <w:t xml:space="preserve"> e</w:t>
      </w:r>
      <w:r w:rsidR="00B8548C" w:rsidRPr="008F654F">
        <w:rPr>
          <w:rFonts w:ascii="Arial" w:eastAsia="Calibri" w:hAnsi="Arial" w:cs="Arial"/>
          <w:sz w:val="24"/>
          <w:szCs w:val="24"/>
        </w:rPr>
        <w:t xml:space="preserve"> </w:t>
      </w:r>
      <w:r w:rsidR="008F654F" w:rsidRPr="008F654F">
        <w:rPr>
          <w:rFonts w:ascii="Arial" w:hAnsi="Arial" w:cs="Arial"/>
          <w:sz w:val="24"/>
          <w:szCs w:val="24"/>
        </w:rPr>
        <w:t xml:space="preserve">la revisione e </w:t>
      </w:r>
      <w:r w:rsidR="008F654F" w:rsidRPr="008F654F">
        <w:rPr>
          <w:rFonts w:ascii="Arial" w:hAnsi="Arial" w:cs="Arial"/>
          <w:b/>
          <w:sz w:val="24"/>
          <w:szCs w:val="24"/>
        </w:rPr>
        <w:t xml:space="preserve">razionalizzazione delle </w:t>
      </w:r>
      <w:r w:rsidR="008F654F" w:rsidRPr="008F654F">
        <w:rPr>
          <w:rFonts w:ascii="Arial" w:hAnsi="Arial" w:cs="Arial"/>
          <w:b/>
          <w:i/>
          <w:sz w:val="24"/>
          <w:szCs w:val="24"/>
        </w:rPr>
        <w:t xml:space="preserve">tax </w:t>
      </w:r>
      <w:proofErr w:type="spellStart"/>
      <w:r w:rsidR="008F654F" w:rsidRPr="008F654F">
        <w:rPr>
          <w:rFonts w:ascii="Arial" w:hAnsi="Arial" w:cs="Arial"/>
          <w:b/>
          <w:i/>
          <w:sz w:val="24"/>
          <w:szCs w:val="24"/>
        </w:rPr>
        <w:t>expenditures</w:t>
      </w:r>
      <w:proofErr w:type="spellEnd"/>
      <w:r w:rsidR="008F654F" w:rsidRPr="008F654F">
        <w:rPr>
          <w:rFonts w:ascii="Arial" w:hAnsi="Arial" w:cs="Arial"/>
          <w:sz w:val="24"/>
          <w:szCs w:val="24"/>
        </w:rPr>
        <w:t>, salvaguardando quelle che rappresentano un fondamentale ristoro di spese essenziali (</w:t>
      </w:r>
      <w:r w:rsidR="00F91DB0">
        <w:rPr>
          <w:rFonts w:ascii="Arial" w:hAnsi="Arial" w:cs="Arial"/>
          <w:sz w:val="24"/>
          <w:szCs w:val="24"/>
        </w:rPr>
        <w:t xml:space="preserve">come ad esempio le </w:t>
      </w:r>
      <w:r w:rsidR="008F654F" w:rsidRPr="008F654F">
        <w:rPr>
          <w:rFonts w:ascii="Arial" w:hAnsi="Arial" w:cs="Arial"/>
          <w:sz w:val="24"/>
          <w:szCs w:val="24"/>
        </w:rPr>
        <w:t>spese sanitarie,</w:t>
      </w:r>
      <w:r w:rsidR="00F91DB0">
        <w:rPr>
          <w:rFonts w:ascii="Arial" w:hAnsi="Arial" w:cs="Arial"/>
          <w:sz w:val="24"/>
          <w:szCs w:val="24"/>
        </w:rPr>
        <w:t xml:space="preserve"> gli</w:t>
      </w:r>
      <w:r w:rsidR="008F654F" w:rsidRPr="008F654F">
        <w:rPr>
          <w:rFonts w:ascii="Arial" w:hAnsi="Arial" w:cs="Arial"/>
          <w:sz w:val="24"/>
          <w:szCs w:val="24"/>
        </w:rPr>
        <w:t xml:space="preserve"> interessi su mutui per l’acquisto dell’abitazione principale) o uno strumento di politica economica per incentivare alcuni comparti con beneficio complessivo per la collettività (</w:t>
      </w:r>
      <w:r w:rsidR="00F91DB0">
        <w:rPr>
          <w:rFonts w:ascii="Arial" w:hAnsi="Arial" w:cs="Arial"/>
          <w:sz w:val="24"/>
          <w:szCs w:val="24"/>
        </w:rPr>
        <w:t>come le</w:t>
      </w:r>
      <w:r w:rsidR="00F91DB0" w:rsidRPr="008F654F">
        <w:rPr>
          <w:rFonts w:ascii="Arial" w:hAnsi="Arial" w:cs="Arial"/>
          <w:sz w:val="24"/>
          <w:szCs w:val="24"/>
        </w:rPr>
        <w:t xml:space="preserve"> erogazioni</w:t>
      </w:r>
      <w:r w:rsidR="008F654F" w:rsidRPr="008F654F">
        <w:rPr>
          <w:rFonts w:ascii="Arial" w:hAnsi="Arial" w:cs="Arial"/>
          <w:sz w:val="24"/>
          <w:szCs w:val="24"/>
        </w:rPr>
        <w:t xml:space="preserve"> a enti del terzo settore,</w:t>
      </w:r>
      <w:r w:rsidR="00F91DB0">
        <w:rPr>
          <w:rFonts w:ascii="Arial" w:hAnsi="Arial" w:cs="Arial"/>
          <w:sz w:val="24"/>
          <w:szCs w:val="24"/>
        </w:rPr>
        <w:t xml:space="preserve"> le</w:t>
      </w:r>
      <w:r w:rsidR="008F654F" w:rsidRPr="008F654F">
        <w:rPr>
          <w:rFonts w:ascii="Arial" w:hAnsi="Arial" w:cs="Arial"/>
          <w:sz w:val="24"/>
          <w:szCs w:val="24"/>
        </w:rPr>
        <w:t xml:space="preserve"> spese per la riqualificazione edilizia ed energetica degli edifici). Importanti anche l’</w:t>
      </w:r>
      <w:r w:rsidR="008F654F" w:rsidRPr="008F654F">
        <w:rPr>
          <w:rFonts w:ascii="Arial" w:hAnsi="Arial" w:cs="Arial"/>
          <w:b/>
          <w:sz w:val="24"/>
          <w:szCs w:val="24"/>
        </w:rPr>
        <w:t xml:space="preserve">estensione della </w:t>
      </w:r>
      <w:proofErr w:type="spellStart"/>
      <w:r w:rsidR="008F654F" w:rsidRPr="008F654F">
        <w:rPr>
          <w:rFonts w:ascii="Arial" w:hAnsi="Arial" w:cs="Arial"/>
          <w:b/>
          <w:i/>
          <w:sz w:val="24"/>
          <w:szCs w:val="24"/>
        </w:rPr>
        <w:t>flat</w:t>
      </w:r>
      <w:proofErr w:type="spellEnd"/>
      <w:r w:rsidR="008F654F" w:rsidRPr="008F654F">
        <w:rPr>
          <w:rFonts w:ascii="Arial" w:hAnsi="Arial" w:cs="Arial"/>
          <w:b/>
          <w:i/>
          <w:sz w:val="24"/>
          <w:szCs w:val="24"/>
        </w:rPr>
        <w:t xml:space="preserve"> tax</w:t>
      </w:r>
      <w:r w:rsidR="008F654F" w:rsidRPr="008F654F">
        <w:rPr>
          <w:rFonts w:ascii="Arial" w:hAnsi="Arial" w:cs="Arial"/>
          <w:b/>
          <w:sz w:val="24"/>
          <w:szCs w:val="24"/>
        </w:rPr>
        <w:t xml:space="preserve"> ai partecipanti in società di persone, associazioni professionali e imprese familiari</w:t>
      </w:r>
      <w:r w:rsidR="008F654F" w:rsidRPr="008F654F">
        <w:rPr>
          <w:rFonts w:ascii="Arial" w:hAnsi="Arial" w:cs="Arial"/>
          <w:sz w:val="24"/>
          <w:szCs w:val="24"/>
        </w:rPr>
        <w:t>, al fine di scongiurare la disgregazione delle attività svolte in forma collettiva al solo fine di poter accedere al regime sostitutivo, l’</w:t>
      </w:r>
      <w:r w:rsidR="008F654F" w:rsidRPr="008F654F">
        <w:rPr>
          <w:rFonts w:ascii="Arial" w:hAnsi="Arial" w:cs="Arial"/>
          <w:b/>
          <w:sz w:val="24"/>
          <w:szCs w:val="24"/>
        </w:rPr>
        <w:t>eliminazione dei tributi di modesta entità e scarso gettito</w:t>
      </w:r>
      <w:r w:rsidR="008F654F" w:rsidRPr="008F654F">
        <w:rPr>
          <w:rFonts w:ascii="Arial" w:hAnsi="Arial" w:cs="Arial"/>
          <w:sz w:val="24"/>
          <w:szCs w:val="24"/>
        </w:rPr>
        <w:t xml:space="preserve">, a partire dall’imposta di bollo sulle fatture e la tassa annuale sulle concessioni governative per la vidimazione di libri e registri contabili, un </w:t>
      </w:r>
      <w:r w:rsidR="008F654F" w:rsidRPr="008F654F">
        <w:rPr>
          <w:rFonts w:ascii="Arial" w:hAnsi="Arial" w:cs="Arial"/>
          <w:b/>
          <w:sz w:val="24"/>
          <w:szCs w:val="24"/>
        </w:rPr>
        <w:t xml:space="preserve">più equilibrato rapporto </w:t>
      </w:r>
      <w:r w:rsidR="00F91DB0">
        <w:rPr>
          <w:rFonts w:ascii="Arial" w:hAnsi="Arial" w:cs="Arial"/>
          <w:b/>
          <w:sz w:val="24"/>
          <w:szCs w:val="24"/>
        </w:rPr>
        <w:t>f</w:t>
      </w:r>
      <w:r w:rsidR="008F654F" w:rsidRPr="008F654F">
        <w:rPr>
          <w:rFonts w:ascii="Arial" w:hAnsi="Arial" w:cs="Arial"/>
          <w:b/>
          <w:sz w:val="24"/>
          <w:szCs w:val="24"/>
        </w:rPr>
        <w:t>isco-</w:t>
      </w:r>
      <w:r w:rsidR="00F91DB0">
        <w:rPr>
          <w:rFonts w:ascii="Arial" w:hAnsi="Arial" w:cs="Arial"/>
          <w:b/>
          <w:sz w:val="24"/>
          <w:szCs w:val="24"/>
        </w:rPr>
        <w:t>c</w:t>
      </w:r>
      <w:r w:rsidR="008F654F" w:rsidRPr="008F654F">
        <w:rPr>
          <w:rFonts w:ascii="Arial" w:hAnsi="Arial" w:cs="Arial"/>
          <w:b/>
          <w:sz w:val="24"/>
          <w:szCs w:val="24"/>
        </w:rPr>
        <w:t>ontribuenti</w:t>
      </w:r>
      <w:r w:rsidR="008F654F" w:rsidRPr="008F654F">
        <w:rPr>
          <w:rFonts w:ascii="Arial" w:hAnsi="Arial" w:cs="Arial"/>
          <w:sz w:val="24"/>
          <w:szCs w:val="24"/>
        </w:rPr>
        <w:t xml:space="preserve"> </w:t>
      </w:r>
      <w:r w:rsidR="008F654F" w:rsidRPr="008F654F">
        <w:rPr>
          <w:rFonts w:ascii="Arial" w:hAnsi="Arial" w:cs="Arial"/>
          <w:b/>
          <w:sz w:val="24"/>
          <w:szCs w:val="24"/>
        </w:rPr>
        <w:t>nelle fasi di controllo e accertamento</w:t>
      </w:r>
      <w:r w:rsidR="008F654F" w:rsidRPr="008F654F">
        <w:rPr>
          <w:rFonts w:ascii="Arial" w:hAnsi="Arial" w:cs="Arial"/>
          <w:sz w:val="24"/>
          <w:szCs w:val="24"/>
        </w:rPr>
        <w:t xml:space="preserve">, attraverso la valorizzazione dei principi dello </w:t>
      </w:r>
      <w:r w:rsidR="008F654F" w:rsidRPr="00F91DB0">
        <w:rPr>
          <w:rFonts w:ascii="Arial" w:hAnsi="Arial" w:cs="Arial"/>
          <w:b/>
          <w:bCs/>
          <w:sz w:val="24"/>
          <w:szCs w:val="24"/>
        </w:rPr>
        <w:t>Statuto dei diritti del contribuente</w:t>
      </w:r>
      <w:r w:rsidR="008F654F">
        <w:rPr>
          <w:rFonts w:ascii="Arial" w:hAnsi="Arial" w:cs="Arial"/>
          <w:sz w:val="24"/>
          <w:szCs w:val="24"/>
        </w:rPr>
        <w:t>.</w:t>
      </w:r>
    </w:p>
    <w:p w14:paraId="77CB162A" w14:textId="50BDD350" w:rsidR="008F654F" w:rsidRPr="00521A50" w:rsidRDefault="008F654F" w:rsidP="008F65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A18A0A" w14:textId="7F3E01C2" w:rsidR="00B8548C" w:rsidRDefault="00B8548C" w:rsidP="00B96AF2">
      <w:pPr>
        <w:autoSpaceDE w:val="0"/>
        <w:autoSpaceDN w:val="0"/>
        <w:adjustRightInd w:val="0"/>
        <w:spacing w:before="120" w:after="160"/>
        <w:jc w:val="both"/>
        <w:rPr>
          <w:rFonts w:ascii="Arial" w:eastAsia="Calibri" w:hAnsi="Arial" w:cs="Arial"/>
          <w:sz w:val="24"/>
          <w:szCs w:val="24"/>
        </w:rPr>
      </w:pPr>
      <w:r w:rsidRPr="00B8548C">
        <w:rPr>
          <w:rFonts w:ascii="Arial" w:eastAsia="Calibri" w:hAnsi="Arial" w:cs="Arial"/>
          <w:sz w:val="24"/>
          <w:szCs w:val="24"/>
        </w:rPr>
        <w:t>.</w:t>
      </w:r>
    </w:p>
    <w:p w14:paraId="6CB4D058" w14:textId="6D20741A" w:rsidR="0081545F" w:rsidRPr="0081545F" w:rsidRDefault="0081545F" w:rsidP="00B96AF2">
      <w:pPr>
        <w:jc w:val="center"/>
        <w:rPr>
          <w:rFonts w:ascii="Arial" w:hAnsi="Arial" w:cs="Arial"/>
          <w:sz w:val="24"/>
          <w:szCs w:val="24"/>
        </w:rPr>
      </w:pPr>
    </w:p>
    <w:sectPr w:rsidR="0081545F" w:rsidRPr="0081545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0ADE" w14:textId="77777777" w:rsidR="00651DCC" w:rsidRDefault="00651DCC" w:rsidP="00A25D50">
      <w:r>
        <w:separator/>
      </w:r>
    </w:p>
  </w:endnote>
  <w:endnote w:type="continuationSeparator" w:id="0">
    <w:p w14:paraId="4DB6DA12" w14:textId="77777777" w:rsidR="00651DCC" w:rsidRDefault="00651DCC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5A4FE" w14:textId="77777777" w:rsidR="00651DCC" w:rsidRDefault="00651DCC" w:rsidP="00A25D50">
      <w:r>
        <w:separator/>
      </w:r>
    </w:p>
  </w:footnote>
  <w:footnote w:type="continuationSeparator" w:id="0">
    <w:p w14:paraId="7379A599" w14:textId="77777777" w:rsidR="00651DCC" w:rsidRDefault="00651DCC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0454A"/>
    <w:multiLevelType w:val="hybridMultilevel"/>
    <w:tmpl w:val="EDC2F18A"/>
    <w:lvl w:ilvl="0" w:tplc="CE66985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2A9F"/>
    <w:multiLevelType w:val="hybridMultilevel"/>
    <w:tmpl w:val="BB10E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71B36"/>
    <w:multiLevelType w:val="hybridMultilevel"/>
    <w:tmpl w:val="55DC2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34642"/>
    <w:multiLevelType w:val="hybridMultilevel"/>
    <w:tmpl w:val="0A360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69675">
    <w:abstractNumId w:val="3"/>
  </w:num>
  <w:num w:numId="2" w16cid:durableId="1878003551">
    <w:abstractNumId w:val="4"/>
  </w:num>
  <w:num w:numId="3" w16cid:durableId="436603486">
    <w:abstractNumId w:val="2"/>
  </w:num>
  <w:num w:numId="4" w16cid:durableId="1045566249">
    <w:abstractNumId w:val="1"/>
  </w:num>
  <w:num w:numId="5" w16cid:durableId="141023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2E93"/>
    <w:rsid w:val="00027BE3"/>
    <w:rsid w:val="00041437"/>
    <w:rsid w:val="00055C12"/>
    <w:rsid w:val="00066B01"/>
    <w:rsid w:val="0009108B"/>
    <w:rsid w:val="000C4581"/>
    <w:rsid w:val="000F1CA8"/>
    <w:rsid w:val="00101E1A"/>
    <w:rsid w:val="00136CF7"/>
    <w:rsid w:val="001447D0"/>
    <w:rsid w:val="00164C51"/>
    <w:rsid w:val="00193471"/>
    <w:rsid w:val="001E3E82"/>
    <w:rsid w:val="001E4EF0"/>
    <w:rsid w:val="001F399E"/>
    <w:rsid w:val="0020469F"/>
    <w:rsid w:val="00216437"/>
    <w:rsid w:val="00237EC9"/>
    <w:rsid w:val="00243892"/>
    <w:rsid w:val="00243F31"/>
    <w:rsid w:val="002A46B8"/>
    <w:rsid w:val="002B687E"/>
    <w:rsid w:val="003002C5"/>
    <w:rsid w:val="00333A0F"/>
    <w:rsid w:val="00347274"/>
    <w:rsid w:val="00365441"/>
    <w:rsid w:val="003771AB"/>
    <w:rsid w:val="00382DCB"/>
    <w:rsid w:val="00394F50"/>
    <w:rsid w:val="003A2DAE"/>
    <w:rsid w:val="003A73E6"/>
    <w:rsid w:val="003E3AB2"/>
    <w:rsid w:val="00436374"/>
    <w:rsid w:val="00463C7D"/>
    <w:rsid w:val="004702B8"/>
    <w:rsid w:val="004C59E2"/>
    <w:rsid w:val="004E3EC6"/>
    <w:rsid w:val="004F0506"/>
    <w:rsid w:val="004F6EF6"/>
    <w:rsid w:val="0050036C"/>
    <w:rsid w:val="005135B9"/>
    <w:rsid w:val="00513CFB"/>
    <w:rsid w:val="0053620E"/>
    <w:rsid w:val="005503BE"/>
    <w:rsid w:val="00561CB7"/>
    <w:rsid w:val="005C3276"/>
    <w:rsid w:val="006150FC"/>
    <w:rsid w:val="00651DCC"/>
    <w:rsid w:val="00672774"/>
    <w:rsid w:val="00685BF9"/>
    <w:rsid w:val="006976D8"/>
    <w:rsid w:val="006B0A61"/>
    <w:rsid w:val="006B5515"/>
    <w:rsid w:val="006C090E"/>
    <w:rsid w:val="00733833"/>
    <w:rsid w:val="00740F1F"/>
    <w:rsid w:val="007451A9"/>
    <w:rsid w:val="00772CD8"/>
    <w:rsid w:val="007840AA"/>
    <w:rsid w:val="007C2A85"/>
    <w:rsid w:val="0080228B"/>
    <w:rsid w:val="00803B21"/>
    <w:rsid w:val="0081545F"/>
    <w:rsid w:val="00844C53"/>
    <w:rsid w:val="00883612"/>
    <w:rsid w:val="00895B38"/>
    <w:rsid w:val="008A6F61"/>
    <w:rsid w:val="008B3982"/>
    <w:rsid w:val="008F01F8"/>
    <w:rsid w:val="008F654F"/>
    <w:rsid w:val="00901181"/>
    <w:rsid w:val="00904442"/>
    <w:rsid w:val="00923955"/>
    <w:rsid w:val="009679A1"/>
    <w:rsid w:val="009726DC"/>
    <w:rsid w:val="0099594F"/>
    <w:rsid w:val="009A16B1"/>
    <w:rsid w:val="009B0DBA"/>
    <w:rsid w:val="009B6359"/>
    <w:rsid w:val="009D18CC"/>
    <w:rsid w:val="009D2456"/>
    <w:rsid w:val="00A037B0"/>
    <w:rsid w:val="00A2361E"/>
    <w:rsid w:val="00A23A10"/>
    <w:rsid w:val="00A25D50"/>
    <w:rsid w:val="00A41325"/>
    <w:rsid w:val="00A67F45"/>
    <w:rsid w:val="00A74AA6"/>
    <w:rsid w:val="00AE049F"/>
    <w:rsid w:val="00AE2F64"/>
    <w:rsid w:val="00AE2FF1"/>
    <w:rsid w:val="00B154FD"/>
    <w:rsid w:val="00B2654F"/>
    <w:rsid w:val="00B623C7"/>
    <w:rsid w:val="00B8548C"/>
    <w:rsid w:val="00B90C71"/>
    <w:rsid w:val="00B96AF2"/>
    <w:rsid w:val="00BB3259"/>
    <w:rsid w:val="00C17FC9"/>
    <w:rsid w:val="00C20913"/>
    <w:rsid w:val="00C3730F"/>
    <w:rsid w:val="00C82382"/>
    <w:rsid w:val="00C84922"/>
    <w:rsid w:val="00C87780"/>
    <w:rsid w:val="00C90A43"/>
    <w:rsid w:val="00D742E0"/>
    <w:rsid w:val="00D8383C"/>
    <w:rsid w:val="00D86F1A"/>
    <w:rsid w:val="00D913BF"/>
    <w:rsid w:val="00DA0ED2"/>
    <w:rsid w:val="00DB0771"/>
    <w:rsid w:val="00DE7244"/>
    <w:rsid w:val="00DF246E"/>
    <w:rsid w:val="00E4100D"/>
    <w:rsid w:val="00E80398"/>
    <w:rsid w:val="00F21C61"/>
    <w:rsid w:val="00F45169"/>
    <w:rsid w:val="00F54D2A"/>
    <w:rsid w:val="00F5789E"/>
    <w:rsid w:val="00F70F2A"/>
    <w:rsid w:val="00F910CC"/>
    <w:rsid w:val="00F91DB0"/>
    <w:rsid w:val="00FB0AD9"/>
    <w:rsid w:val="00FB1FE4"/>
    <w:rsid w:val="00FB2CAF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F58EBD04-951C-4788-BCAC-B9522BCC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dcterms:created xsi:type="dcterms:W3CDTF">2023-05-03T13:00:00Z</dcterms:created>
  <dcterms:modified xsi:type="dcterms:W3CDTF">2023-05-03T13:00:00Z</dcterms:modified>
</cp:coreProperties>
</file>