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040" w:rsidRDefault="00DD3040" w:rsidP="003802C0">
      <w:pPr>
        <w:spacing w:after="0" w:line="240" w:lineRule="auto"/>
        <w:jc w:val="both"/>
        <w:rPr>
          <w:rFonts w:ascii="Arial" w:hAnsi="Arial" w:cs="Arial"/>
          <w:b/>
          <w:bCs/>
          <w:sz w:val="24"/>
          <w:szCs w:val="24"/>
        </w:rPr>
      </w:pPr>
      <w:r w:rsidRPr="00A22943">
        <w:rPr>
          <w:rFonts w:ascii="Arial" w:hAnsi="Arial" w:cs="Arial"/>
          <w:b/>
          <w:bCs/>
          <w:sz w:val="24"/>
          <w:szCs w:val="24"/>
        </w:rPr>
        <w:t>Comunicato stampa</w:t>
      </w:r>
    </w:p>
    <w:p w:rsidR="003802C0" w:rsidRDefault="003802C0" w:rsidP="003802C0">
      <w:pPr>
        <w:spacing w:after="0" w:line="240" w:lineRule="auto"/>
        <w:jc w:val="both"/>
        <w:rPr>
          <w:rFonts w:ascii="Arial" w:hAnsi="Arial" w:cs="Arial"/>
          <w:b/>
          <w:bCs/>
          <w:sz w:val="24"/>
          <w:szCs w:val="24"/>
        </w:rPr>
      </w:pPr>
    </w:p>
    <w:p w:rsidR="003802C0" w:rsidRDefault="003802C0" w:rsidP="003802C0">
      <w:pPr>
        <w:pStyle w:val="NormaleWeb"/>
        <w:autoSpaceDE w:val="0"/>
        <w:autoSpaceDN w:val="0"/>
        <w:adjustRightInd w:val="0"/>
        <w:spacing w:before="0" w:beforeAutospacing="0" w:after="0" w:afterAutospacing="0"/>
        <w:jc w:val="both"/>
        <w:rPr>
          <w:rFonts w:ascii="Arial" w:hAnsi="Arial" w:cs="Arial"/>
          <w:b/>
          <w:bCs/>
          <w:color w:val="000000"/>
        </w:rPr>
      </w:pPr>
      <w:r>
        <w:rPr>
          <w:rFonts w:ascii="Arial" w:hAnsi="Arial" w:cs="Arial"/>
          <w:b/>
          <w:bCs/>
          <w:color w:val="000000"/>
        </w:rPr>
        <w:t>CODICE ANTIMAFIA, DAI COMMERCIALISTI LE LINEE GUIDA PER LA VALUTAZIONE DI AZIENDE SEQUESTRATE E CONFISCATE</w:t>
      </w:r>
    </w:p>
    <w:p w:rsidR="003802C0" w:rsidRDefault="003802C0" w:rsidP="003802C0">
      <w:pPr>
        <w:pStyle w:val="NormaleWeb"/>
        <w:autoSpaceDE w:val="0"/>
        <w:autoSpaceDN w:val="0"/>
        <w:adjustRightInd w:val="0"/>
        <w:spacing w:before="0" w:beforeAutospacing="0" w:after="0" w:afterAutospacing="0"/>
        <w:jc w:val="both"/>
        <w:rPr>
          <w:color w:val="000000"/>
        </w:rPr>
      </w:pPr>
      <w:bookmarkStart w:id="0" w:name="_GoBack"/>
      <w:bookmarkEnd w:id="0"/>
    </w:p>
    <w:p w:rsidR="003802C0" w:rsidRDefault="003802C0" w:rsidP="003802C0">
      <w:pPr>
        <w:pStyle w:val="NormaleWeb"/>
        <w:autoSpaceDE w:val="0"/>
        <w:autoSpaceDN w:val="0"/>
        <w:adjustRightInd w:val="0"/>
        <w:spacing w:before="0" w:beforeAutospacing="0" w:after="0" w:afterAutospacing="0"/>
        <w:jc w:val="both"/>
        <w:rPr>
          <w:color w:val="000000"/>
        </w:rPr>
      </w:pPr>
      <w:r>
        <w:rPr>
          <w:rFonts w:ascii="Arial" w:hAnsi="Arial" w:cs="Arial"/>
          <w:b/>
          <w:bCs/>
          <w:color w:val="000000"/>
        </w:rPr>
        <w:t xml:space="preserve">Il documento, redatto con </w:t>
      </w:r>
      <w:proofErr w:type="spellStart"/>
      <w:r>
        <w:rPr>
          <w:rFonts w:ascii="Arial" w:hAnsi="Arial" w:cs="Arial"/>
          <w:b/>
          <w:bCs/>
          <w:color w:val="000000"/>
        </w:rPr>
        <w:t>Sidrea</w:t>
      </w:r>
      <w:proofErr w:type="spellEnd"/>
      <w:r>
        <w:rPr>
          <w:rFonts w:ascii="Arial" w:hAnsi="Arial" w:cs="Arial"/>
          <w:b/>
          <w:bCs/>
          <w:color w:val="000000"/>
        </w:rPr>
        <w:t xml:space="preserve">, punta a fornire trasparenza e attendibilità alle stime e prassi operative consolidate a garanzia di professionisti e acquirenti </w:t>
      </w:r>
    </w:p>
    <w:p w:rsidR="003802C0" w:rsidRDefault="003802C0" w:rsidP="003802C0">
      <w:pPr>
        <w:pStyle w:val="NormaleWeb"/>
        <w:autoSpaceDE w:val="0"/>
        <w:autoSpaceDN w:val="0"/>
        <w:adjustRightInd w:val="0"/>
        <w:spacing w:before="0" w:beforeAutospacing="0" w:after="0" w:afterAutospacing="0"/>
        <w:jc w:val="both"/>
        <w:rPr>
          <w:color w:val="000000"/>
        </w:rPr>
      </w:pPr>
      <w:r>
        <w:rPr>
          <w:rFonts w:ascii="Arial" w:hAnsi="Arial" w:cs="Arial"/>
          <w:b/>
          <w:bCs/>
          <w:color w:val="000000"/>
        </w:rPr>
        <w:t> </w:t>
      </w:r>
    </w:p>
    <w:p w:rsidR="003802C0" w:rsidRDefault="003802C0" w:rsidP="003802C0">
      <w:pPr>
        <w:pStyle w:val="NormaleWeb"/>
        <w:autoSpaceDE w:val="0"/>
        <w:autoSpaceDN w:val="0"/>
        <w:adjustRightInd w:val="0"/>
        <w:spacing w:before="0" w:beforeAutospacing="0" w:after="0" w:afterAutospacing="0"/>
        <w:jc w:val="both"/>
        <w:rPr>
          <w:color w:val="000000"/>
        </w:rPr>
      </w:pPr>
      <w:r>
        <w:rPr>
          <w:rFonts w:ascii="Arial" w:hAnsi="Arial" w:cs="Arial"/>
          <w:i/>
          <w:iCs/>
          <w:color w:val="000000"/>
        </w:rPr>
        <w:t>Roma, 4 maggio 2020 -</w:t>
      </w:r>
      <w:r>
        <w:rPr>
          <w:rFonts w:ascii="Arial" w:hAnsi="Arial" w:cs="Arial"/>
          <w:color w:val="000000"/>
        </w:rPr>
        <w:t xml:space="preserve"> Fornire ampia </w:t>
      </w:r>
      <w:r>
        <w:rPr>
          <w:rFonts w:ascii="Arial" w:hAnsi="Arial" w:cs="Arial"/>
          <w:b/>
          <w:bCs/>
          <w:color w:val="000000"/>
        </w:rPr>
        <w:t>trasparenza</w:t>
      </w:r>
      <w:r>
        <w:rPr>
          <w:rFonts w:ascii="Arial" w:hAnsi="Arial" w:cs="Arial"/>
          <w:color w:val="000000"/>
        </w:rPr>
        <w:t xml:space="preserve"> rispetto alle </w:t>
      </w:r>
      <w:r>
        <w:rPr>
          <w:rFonts w:ascii="Arial" w:hAnsi="Arial" w:cs="Arial"/>
          <w:b/>
          <w:bCs/>
          <w:color w:val="000000"/>
        </w:rPr>
        <w:t>difficoltà estimative</w:t>
      </w:r>
      <w:r>
        <w:rPr>
          <w:rFonts w:ascii="Arial" w:hAnsi="Arial" w:cs="Arial"/>
          <w:color w:val="000000"/>
        </w:rPr>
        <w:t xml:space="preserve"> delle aziende sottoposte a misure di prevenzione e definire </w:t>
      </w:r>
      <w:r>
        <w:rPr>
          <w:rFonts w:ascii="Arial" w:hAnsi="Arial" w:cs="Arial"/>
          <w:b/>
          <w:bCs/>
          <w:color w:val="000000"/>
        </w:rPr>
        <w:t>prassi operative</w:t>
      </w:r>
      <w:r>
        <w:rPr>
          <w:rFonts w:ascii="Arial" w:hAnsi="Arial" w:cs="Arial"/>
          <w:color w:val="000000"/>
        </w:rPr>
        <w:t xml:space="preserve"> consolidate per la loro valorizzazione. Ciò per conferire maggiore </w:t>
      </w:r>
      <w:r>
        <w:rPr>
          <w:rFonts w:ascii="Arial" w:hAnsi="Arial" w:cs="Arial"/>
          <w:b/>
          <w:bCs/>
          <w:color w:val="000000"/>
        </w:rPr>
        <w:t xml:space="preserve">attendibilità </w:t>
      </w:r>
      <w:r>
        <w:rPr>
          <w:rFonts w:ascii="Arial" w:hAnsi="Arial" w:cs="Arial"/>
          <w:color w:val="000000"/>
        </w:rPr>
        <w:t xml:space="preserve">alle stime effettuate con l’intendimento di creare maggiore </w:t>
      </w:r>
      <w:r>
        <w:rPr>
          <w:rFonts w:ascii="Arial" w:hAnsi="Arial" w:cs="Arial"/>
          <w:b/>
          <w:bCs/>
          <w:color w:val="000000"/>
        </w:rPr>
        <w:t>garanzia</w:t>
      </w:r>
      <w:r>
        <w:rPr>
          <w:rFonts w:ascii="Arial" w:hAnsi="Arial" w:cs="Arial"/>
          <w:color w:val="000000"/>
        </w:rPr>
        <w:t xml:space="preserve"> sia per i </w:t>
      </w:r>
      <w:r>
        <w:rPr>
          <w:rFonts w:ascii="Arial" w:hAnsi="Arial" w:cs="Arial"/>
          <w:b/>
          <w:bCs/>
          <w:color w:val="000000"/>
        </w:rPr>
        <w:t>professionisti</w:t>
      </w:r>
      <w:r>
        <w:rPr>
          <w:rFonts w:ascii="Arial" w:hAnsi="Arial" w:cs="Arial"/>
          <w:color w:val="000000"/>
        </w:rPr>
        <w:t xml:space="preserve"> chiamati alla </w:t>
      </w:r>
      <w:r>
        <w:rPr>
          <w:rFonts w:ascii="Arial" w:hAnsi="Arial" w:cs="Arial"/>
          <w:b/>
          <w:bCs/>
          <w:color w:val="000000"/>
        </w:rPr>
        <w:t>gestione temporanea</w:t>
      </w:r>
      <w:r>
        <w:rPr>
          <w:rFonts w:ascii="Arial" w:hAnsi="Arial" w:cs="Arial"/>
          <w:color w:val="000000"/>
        </w:rPr>
        <w:t xml:space="preserve"> dei beni, sia per i potenziali </w:t>
      </w:r>
      <w:r>
        <w:rPr>
          <w:rFonts w:ascii="Arial" w:hAnsi="Arial" w:cs="Arial"/>
          <w:b/>
          <w:bCs/>
          <w:color w:val="000000"/>
        </w:rPr>
        <w:t>acquirenti</w:t>
      </w:r>
      <w:r>
        <w:rPr>
          <w:rFonts w:ascii="Arial" w:hAnsi="Arial" w:cs="Arial"/>
          <w:color w:val="000000"/>
        </w:rPr>
        <w:t>. Nascono con queste finalità le “</w:t>
      </w:r>
      <w:r>
        <w:rPr>
          <w:rFonts w:ascii="Arial" w:hAnsi="Arial" w:cs="Arial"/>
          <w:b/>
          <w:bCs/>
          <w:color w:val="000000"/>
        </w:rPr>
        <w:t>Linee guida per la valutazione di aziende sequestrate e confiscate</w:t>
      </w:r>
      <w:r>
        <w:rPr>
          <w:rFonts w:ascii="Arial" w:hAnsi="Arial" w:cs="Arial"/>
          <w:color w:val="000000"/>
        </w:rPr>
        <w:t xml:space="preserve">” redatte dal </w:t>
      </w:r>
      <w:r>
        <w:rPr>
          <w:rFonts w:ascii="Arial" w:hAnsi="Arial" w:cs="Arial"/>
          <w:b/>
          <w:bCs/>
          <w:color w:val="000000"/>
        </w:rPr>
        <w:t>Consiglio nazionale dei commercialisti</w:t>
      </w:r>
      <w:r>
        <w:rPr>
          <w:rFonts w:ascii="Arial" w:hAnsi="Arial" w:cs="Arial"/>
          <w:color w:val="000000"/>
        </w:rPr>
        <w:t xml:space="preserve"> in collaborazione con </w:t>
      </w:r>
      <w:proofErr w:type="spellStart"/>
      <w:r>
        <w:rPr>
          <w:rFonts w:ascii="Arial" w:hAnsi="Arial" w:cs="Arial"/>
          <w:b/>
          <w:bCs/>
          <w:color w:val="000000"/>
        </w:rPr>
        <w:t>Sidrea</w:t>
      </w:r>
      <w:proofErr w:type="spellEnd"/>
      <w:r>
        <w:rPr>
          <w:rFonts w:ascii="Arial" w:hAnsi="Arial" w:cs="Arial"/>
          <w:color w:val="000000"/>
        </w:rPr>
        <w:t xml:space="preserve">, la Società italiana dei docenti di ragioneria </w:t>
      </w:r>
      <w:proofErr w:type="gramStart"/>
      <w:r>
        <w:rPr>
          <w:rFonts w:ascii="Arial" w:hAnsi="Arial" w:cs="Arial"/>
          <w:color w:val="000000"/>
        </w:rPr>
        <w:t>e</w:t>
      </w:r>
      <w:proofErr w:type="gramEnd"/>
      <w:r>
        <w:rPr>
          <w:rFonts w:ascii="Arial" w:hAnsi="Arial" w:cs="Arial"/>
          <w:color w:val="000000"/>
        </w:rPr>
        <w:t xml:space="preserve"> economia aziendale. Nell’introduzione al documento, i Consiglieri nazionali dei commercialisti </w:t>
      </w:r>
      <w:r>
        <w:rPr>
          <w:rFonts w:ascii="Arial" w:hAnsi="Arial" w:cs="Arial"/>
          <w:b/>
          <w:bCs/>
          <w:color w:val="000000"/>
        </w:rPr>
        <w:t>Raffaele Marce</w:t>
      </w:r>
      <w:r>
        <w:rPr>
          <w:rFonts w:ascii="Arial" w:hAnsi="Arial" w:cs="Arial"/>
          <w:color w:val="000000"/>
        </w:rPr>
        <w:t xml:space="preserve">llo (delegato ai Principi contabili, Principi di revisione e Sistema dei controlli), </w:t>
      </w:r>
      <w:r>
        <w:rPr>
          <w:rFonts w:ascii="Arial" w:hAnsi="Arial" w:cs="Arial"/>
          <w:b/>
          <w:bCs/>
          <w:color w:val="000000"/>
        </w:rPr>
        <w:t>Valeria Giancola</w:t>
      </w:r>
      <w:r>
        <w:rPr>
          <w:rFonts w:ascii="Arial" w:hAnsi="Arial" w:cs="Arial"/>
          <w:color w:val="000000"/>
        </w:rPr>
        <w:t xml:space="preserve"> e </w:t>
      </w:r>
      <w:r>
        <w:rPr>
          <w:rFonts w:ascii="Arial" w:hAnsi="Arial" w:cs="Arial"/>
          <w:b/>
          <w:bCs/>
          <w:color w:val="000000"/>
        </w:rPr>
        <w:t>Giuseppe Tedesco</w:t>
      </w:r>
      <w:r>
        <w:rPr>
          <w:rFonts w:ascii="Arial" w:hAnsi="Arial" w:cs="Arial"/>
          <w:color w:val="000000"/>
        </w:rPr>
        <w:t xml:space="preserve"> (entrambi delegati alle Funzioni Giudiziarie e Metodi ADR) sottolineano come il </w:t>
      </w:r>
      <w:r>
        <w:rPr>
          <w:rFonts w:ascii="Arial" w:hAnsi="Arial" w:cs="Arial"/>
          <w:b/>
          <w:bCs/>
          <w:color w:val="000000"/>
        </w:rPr>
        <w:t>Codice antimafia</w:t>
      </w:r>
      <w:r>
        <w:rPr>
          <w:rFonts w:ascii="Arial" w:hAnsi="Arial" w:cs="Arial"/>
          <w:color w:val="000000"/>
        </w:rPr>
        <w:t xml:space="preserve">, riformato dalla L. del 17 ottobre 2017, n. 161, abbia introdotto alcune disposizioni volte a disciplinare l’amministrazione e la destinazione dei beni e delle aziende sottoposte a provvedimenti di sequestro e confisca. Disposizioni dalle quali, secondo i tre consiglieri nazionali, “emergono le </w:t>
      </w:r>
      <w:r>
        <w:rPr>
          <w:rFonts w:ascii="Arial" w:hAnsi="Arial" w:cs="Arial"/>
          <w:b/>
          <w:bCs/>
          <w:color w:val="000000"/>
        </w:rPr>
        <w:t>difficoltà</w:t>
      </w:r>
      <w:r>
        <w:rPr>
          <w:rFonts w:ascii="Arial" w:hAnsi="Arial" w:cs="Arial"/>
          <w:color w:val="000000"/>
        </w:rPr>
        <w:t xml:space="preserve"> connesse al processo di l</w:t>
      </w:r>
      <w:r>
        <w:rPr>
          <w:rFonts w:ascii="Arial" w:hAnsi="Arial" w:cs="Arial"/>
          <w:b/>
          <w:bCs/>
          <w:color w:val="000000"/>
        </w:rPr>
        <w:t>egalizzazione</w:t>
      </w:r>
      <w:r>
        <w:rPr>
          <w:rFonts w:ascii="Arial" w:hAnsi="Arial" w:cs="Arial"/>
          <w:color w:val="000000"/>
        </w:rPr>
        <w:t>”. Sui beni e sulle aziende sequestrate e confiscate alla criminalità organizzata – scrivono Marcello, Giancola e Tedesco</w:t>
      </w:r>
      <w:r>
        <w:rPr>
          <w:rFonts w:ascii="Arial" w:hAnsi="Arial" w:cs="Arial"/>
          <w:color w:val="000000"/>
        </w:rPr>
        <w:t xml:space="preserve"> –</w:t>
      </w:r>
      <w:proofErr w:type="gramStart"/>
      <w:r>
        <w:rPr>
          <w:rFonts w:ascii="Arial" w:hAnsi="Arial" w:cs="Arial"/>
          <w:color w:val="000000"/>
        </w:rPr>
        <w:t xml:space="preserve"> </w:t>
      </w:r>
      <w:r>
        <w:rPr>
          <w:rFonts w:ascii="Arial" w:hAnsi="Arial" w:cs="Arial"/>
          <w:color w:val="000000"/>
        </w:rPr>
        <w:t xml:space="preserve">  “</w:t>
      </w:r>
      <w:proofErr w:type="gramEnd"/>
      <w:r>
        <w:rPr>
          <w:rFonts w:ascii="Arial" w:hAnsi="Arial" w:cs="Arial"/>
          <w:color w:val="000000"/>
        </w:rPr>
        <w:t xml:space="preserve">continuano a mancare </w:t>
      </w:r>
      <w:r>
        <w:rPr>
          <w:rFonts w:ascii="Arial" w:hAnsi="Arial" w:cs="Arial"/>
          <w:b/>
          <w:bCs/>
          <w:color w:val="000000"/>
        </w:rPr>
        <w:t>banche dati</w:t>
      </w:r>
      <w:r>
        <w:rPr>
          <w:rFonts w:ascii="Arial" w:hAnsi="Arial" w:cs="Arial"/>
          <w:color w:val="000000"/>
        </w:rPr>
        <w:t xml:space="preserve"> affidabili che permettano di misurare attendibilmente elementi volti a definire il loro valore. Nonostante l’esistenza, da tempo, di sistemi di censimento dei beni sequestrati (SIT. MP) e dei beni confiscati (REGIO e </w:t>
      </w:r>
      <w:proofErr w:type="spellStart"/>
      <w:r>
        <w:rPr>
          <w:rFonts w:ascii="Arial" w:hAnsi="Arial" w:cs="Arial"/>
          <w:color w:val="000000"/>
        </w:rPr>
        <w:t>OpenRegio</w:t>
      </w:r>
      <w:proofErr w:type="spellEnd"/>
      <w:r>
        <w:rPr>
          <w:rFonts w:ascii="Arial" w:hAnsi="Arial" w:cs="Arial"/>
          <w:color w:val="000000"/>
        </w:rPr>
        <w:t xml:space="preserve">), non esistono informazioni e dati certi, volti a supportare in maniera specifica gli aspetti di natura valutativa”. </w:t>
      </w:r>
    </w:p>
    <w:p w:rsidR="003802C0" w:rsidRDefault="003802C0" w:rsidP="003802C0">
      <w:pPr>
        <w:pStyle w:val="NormaleWeb"/>
        <w:autoSpaceDE w:val="0"/>
        <w:autoSpaceDN w:val="0"/>
        <w:adjustRightInd w:val="0"/>
        <w:spacing w:before="0" w:beforeAutospacing="0" w:after="0" w:afterAutospacing="0"/>
        <w:jc w:val="both"/>
        <w:rPr>
          <w:color w:val="000000"/>
        </w:rPr>
      </w:pPr>
    </w:p>
    <w:p w:rsidR="003802C0" w:rsidRDefault="003802C0" w:rsidP="003802C0">
      <w:pPr>
        <w:pStyle w:val="NormaleWeb"/>
        <w:autoSpaceDE w:val="0"/>
        <w:autoSpaceDN w:val="0"/>
        <w:adjustRightInd w:val="0"/>
        <w:spacing w:before="0" w:beforeAutospacing="0" w:after="0" w:afterAutospacing="0"/>
        <w:jc w:val="both"/>
        <w:rPr>
          <w:color w:val="000000"/>
        </w:rPr>
      </w:pPr>
      <w:r>
        <w:rPr>
          <w:rFonts w:ascii="Arial" w:hAnsi="Arial" w:cs="Arial"/>
          <w:color w:val="000000"/>
        </w:rPr>
        <w:t xml:space="preserve">“Con riferimento alla </w:t>
      </w:r>
      <w:r>
        <w:rPr>
          <w:rFonts w:ascii="Arial" w:hAnsi="Arial" w:cs="Arial"/>
          <w:b/>
          <w:bCs/>
          <w:color w:val="000000"/>
        </w:rPr>
        <w:t>destinazione</w:t>
      </w:r>
      <w:r>
        <w:rPr>
          <w:rFonts w:ascii="Arial" w:hAnsi="Arial" w:cs="Arial"/>
          <w:color w:val="000000"/>
        </w:rPr>
        <w:t xml:space="preserve"> e alla </w:t>
      </w:r>
      <w:r>
        <w:rPr>
          <w:rFonts w:ascii="Arial" w:hAnsi="Arial" w:cs="Arial"/>
          <w:b/>
          <w:bCs/>
          <w:color w:val="000000"/>
        </w:rPr>
        <w:t>vendita</w:t>
      </w:r>
      <w:r>
        <w:rPr>
          <w:rFonts w:ascii="Arial" w:hAnsi="Arial" w:cs="Arial"/>
          <w:color w:val="000000"/>
        </w:rPr>
        <w:t xml:space="preserve"> – proseguono - l’evidenza empirica mostra l’esistenza di notevoli difficoltà ad individuare potenziali acquirenti” principalmente per la “naturale ritrosia a rilevare beni e aziende precedentemente in mano alla criminalità organizzata”. </w:t>
      </w:r>
    </w:p>
    <w:p w:rsidR="003802C0" w:rsidRDefault="003802C0" w:rsidP="003802C0">
      <w:pPr>
        <w:pStyle w:val="NormaleWeb"/>
        <w:autoSpaceDE w:val="0"/>
        <w:autoSpaceDN w:val="0"/>
        <w:adjustRightInd w:val="0"/>
        <w:spacing w:before="0" w:beforeAutospacing="0" w:after="0" w:afterAutospacing="0"/>
        <w:jc w:val="both"/>
        <w:rPr>
          <w:color w:val="000000"/>
        </w:rPr>
      </w:pPr>
    </w:p>
    <w:p w:rsidR="003802C0" w:rsidRDefault="003802C0" w:rsidP="003802C0">
      <w:pPr>
        <w:pStyle w:val="NormaleWeb"/>
        <w:autoSpaceDE w:val="0"/>
        <w:autoSpaceDN w:val="0"/>
        <w:adjustRightInd w:val="0"/>
        <w:spacing w:before="0" w:beforeAutospacing="0" w:after="0" w:afterAutospacing="0"/>
        <w:jc w:val="both"/>
        <w:rPr>
          <w:color w:val="000000"/>
        </w:rPr>
      </w:pPr>
      <w:r>
        <w:rPr>
          <w:rFonts w:ascii="Arial" w:hAnsi="Arial" w:cs="Arial"/>
          <w:color w:val="000000"/>
        </w:rPr>
        <w:t xml:space="preserve">Secondo i commercialisti, dall’esame della norma emergono “anche criticità riguardo alla </w:t>
      </w:r>
      <w:r>
        <w:rPr>
          <w:rFonts w:ascii="Arial" w:hAnsi="Arial" w:cs="Arial"/>
          <w:b/>
          <w:bCs/>
          <w:color w:val="000000"/>
        </w:rPr>
        <w:t>determinazione del valore</w:t>
      </w:r>
      <w:r>
        <w:rPr>
          <w:rFonts w:ascii="Arial" w:hAnsi="Arial" w:cs="Arial"/>
          <w:color w:val="000000"/>
        </w:rPr>
        <w:t xml:space="preserve"> di beni e aziende sequestrate e confiscate”.</w:t>
      </w:r>
      <w:r>
        <w:rPr>
          <w:rFonts w:ascii="Arial" w:hAnsi="Arial" w:cs="Arial"/>
          <w:bCs/>
          <w:color w:val="000000"/>
        </w:rPr>
        <w:t xml:space="preserve"> “La scelta di identificare una soluzione tra affitto, vendita e liquidazione del complesso e/o dei beni aziendali, così come richiamati dalla norma – scrivono i tre consiglieri nazionali</w:t>
      </w:r>
      <w:r>
        <w:rPr>
          <w:rFonts w:ascii="Arial" w:hAnsi="Arial" w:cs="Arial"/>
          <w:bCs/>
          <w:color w:val="000000"/>
        </w:rPr>
        <w:t xml:space="preserve"> –</w:t>
      </w:r>
      <w:r>
        <w:rPr>
          <w:rFonts w:ascii="Arial" w:hAnsi="Arial" w:cs="Arial"/>
          <w:bCs/>
          <w:color w:val="000000"/>
        </w:rPr>
        <w:t xml:space="preserve"> non è automatica e rappresenta l’esito di un lungo processo di valutazione operato dalla fase di sequestro, proseguendo nelle fasi di confisca di primo grado e definitiva del patrimonio oggetto di analisi. La decisione in merito alla destinazione dei beni oggetto di confisca rende indispensabile la </w:t>
      </w:r>
      <w:r>
        <w:rPr>
          <w:rFonts w:ascii="Arial" w:hAnsi="Arial" w:cs="Arial"/>
          <w:b/>
          <w:bCs/>
          <w:color w:val="000000"/>
        </w:rPr>
        <w:t>stima del capitale d’impresa</w:t>
      </w:r>
      <w:r>
        <w:rPr>
          <w:rFonts w:ascii="Arial" w:hAnsi="Arial" w:cs="Arial"/>
          <w:bCs/>
          <w:color w:val="000000"/>
        </w:rPr>
        <w:t xml:space="preserve">. Quest’ultimo può dunque assumere una configurazione differente a seconda della soluzione prescelta, con incidenza sulla configurazione di capitale e sulla scelta dei criteri e delle metodologie di stima”. </w:t>
      </w:r>
      <w:r>
        <w:rPr>
          <w:rFonts w:ascii="Arial" w:hAnsi="Arial" w:cs="Arial"/>
          <w:color w:val="000000"/>
        </w:rPr>
        <w:t xml:space="preserve">Nella stima del valore di beni e aziende sequestrate e confiscate “non si può prescindere dalla disamina delle particolari condizioni del complesso aziendale, oltre che di contesto (geografiche, settoriali, culturali, </w:t>
      </w:r>
      <w:proofErr w:type="spellStart"/>
      <w:r>
        <w:rPr>
          <w:rFonts w:ascii="Arial" w:hAnsi="Arial" w:cs="Arial"/>
          <w:color w:val="000000"/>
        </w:rPr>
        <w:t>ecc</w:t>
      </w:r>
      <w:proofErr w:type="spellEnd"/>
      <w:r>
        <w:rPr>
          <w:rFonts w:ascii="Arial" w:hAnsi="Arial" w:cs="Arial"/>
          <w:color w:val="000000"/>
        </w:rPr>
        <w:t>).</w:t>
      </w:r>
      <w:r>
        <w:rPr>
          <w:rFonts w:ascii="Arial" w:hAnsi="Arial" w:cs="Arial"/>
          <w:bCs/>
          <w:color w:val="000000"/>
        </w:rPr>
        <w:t xml:space="preserve"> </w:t>
      </w:r>
      <w:r>
        <w:rPr>
          <w:rFonts w:ascii="Arial" w:hAnsi="Arial" w:cs="Arial"/>
          <w:color w:val="000000"/>
        </w:rPr>
        <w:t xml:space="preserve">Tra le problematiche </w:t>
      </w:r>
      <w:r>
        <w:rPr>
          <w:rFonts w:ascii="Arial" w:hAnsi="Arial" w:cs="Arial"/>
          <w:b/>
          <w:bCs/>
          <w:color w:val="000000"/>
        </w:rPr>
        <w:t>endogene o aziendali</w:t>
      </w:r>
      <w:r>
        <w:rPr>
          <w:rFonts w:ascii="Arial" w:hAnsi="Arial" w:cs="Arial"/>
          <w:color w:val="000000"/>
        </w:rPr>
        <w:t xml:space="preserve"> ci sono la piena </w:t>
      </w:r>
      <w:r>
        <w:rPr>
          <w:rFonts w:ascii="Arial" w:hAnsi="Arial" w:cs="Arial"/>
          <w:color w:val="000000"/>
        </w:rPr>
        <w:lastRenderedPageBreak/>
        <w:t xml:space="preserve">comprensione e valorizzazione, ad opera dell’esperto, dei caratteri distintivi delle aziende sequestrate o confiscate, quali la presenza di una </w:t>
      </w:r>
      <w:r>
        <w:rPr>
          <w:rFonts w:ascii="Arial" w:hAnsi="Arial" w:cs="Arial"/>
          <w:b/>
          <w:bCs/>
          <w:color w:val="000000"/>
        </w:rPr>
        <w:t xml:space="preserve">proprietà </w:t>
      </w:r>
      <w:r>
        <w:rPr>
          <w:rFonts w:ascii="Arial" w:hAnsi="Arial" w:cs="Arial"/>
          <w:color w:val="000000"/>
        </w:rPr>
        <w:t xml:space="preserve">e/o di un </w:t>
      </w:r>
      <w:r>
        <w:rPr>
          <w:rFonts w:ascii="Arial" w:hAnsi="Arial" w:cs="Arial"/>
          <w:b/>
          <w:bCs/>
          <w:i/>
          <w:iCs/>
          <w:color w:val="000000"/>
        </w:rPr>
        <w:t>management</w:t>
      </w:r>
      <w:r>
        <w:rPr>
          <w:rFonts w:ascii="Arial" w:hAnsi="Arial" w:cs="Arial"/>
          <w:b/>
          <w:bCs/>
          <w:color w:val="000000"/>
        </w:rPr>
        <w:t xml:space="preserve"> </w:t>
      </w:r>
      <w:r>
        <w:rPr>
          <w:rFonts w:ascii="Arial" w:hAnsi="Arial" w:cs="Arial"/>
          <w:color w:val="000000"/>
        </w:rPr>
        <w:t xml:space="preserve">di estrazione mafiosa (in taluni casi) e il diverso atteggiarsi del ruolo degli </w:t>
      </w:r>
      <w:r>
        <w:rPr>
          <w:rFonts w:ascii="Arial" w:hAnsi="Arial" w:cs="Arial"/>
          <w:i/>
          <w:iCs/>
          <w:color w:val="000000"/>
        </w:rPr>
        <w:t xml:space="preserve">stakeholder </w:t>
      </w:r>
      <w:r>
        <w:rPr>
          <w:rFonts w:ascii="Arial" w:hAnsi="Arial" w:cs="Arial"/>
          <w:color w:val="000000"/>
        </w:rPr>
        <w:t xml:space="preserve">prima, durante e successivamente alla misura di prevenzione patrimoniale. Limiti intrinseci al processo valutativo dell’azienda sottoposta a provvedimento di sequestro o confisca derivano poi dai </w:t>
      </w:r>
      <w:r>
        <w:rPr>
          <w:rFonts w:ascii="Arial" w:hAnsi="Arial" w:cs="Arial"/>
          <w:b/>
          <w:bCs/>
          <w:color w:val="000000"/>
        </w:rPr>
        <w:t>risultati economici</w:t>
      </w:r>
      <w:r>
        <w:rPr>
          <w:rFonts w:ascii="Arial" w:hAnsi="Arial" w:cs="Arial"/>
          <w:color w:val="000000"/>
        </w:rPr>
        <w:t xml:space="preserve"> conseguiti dall’impresa legale</w:t>
      </w:r>
      <w:r>
        <w:rPr>
          <w:rFonts w:ascii="Arial" w:hAnsi="Arial" w:cs="Arial"/>
          <w:i/>
          <w:iCs/>
          <w:color w:val="000000"/>
        </w:rPr>
        <w:t>-</w:t>
      </w:r>
      <w:r>
        <w:rPr>
          <w:rFonts w:ascii="Arial" w:hAnsi="Arial" w:cs="Arial"/>
          <w:color w:val="000000"/>
        </w:rPr>
        <w:t>malavitosa, spesso poco affidabili per determinare il valore di mercato”.</w:t>
      </w:r>
    </w:p>
    <w:p w:rsidR="003802C0" w:rsidRDefault="003802C0" w:rsidP="003802C0">
      <w:pPr>
        <w:pStyle w:val="NormaleWeb"/>
        <w:autoSpaceDE w:val="0"/>
        <w:autoSpaceDN w:val="0"/>
        <w:adjustRightInd w:val="0"/>
        <w:spacing w:before="0" w:beforeAutospacing="0" w:after="0" w:afterAutospacing="0"/>
        <w:jc w:val="both"/>
        <w:rPr>
          <w:color w:val="000000"/>
        </w:rPr>
      </w:pPr>
    </w:p>
    <w:p w:rsidR="003802C0" w:rsidRDefault="003802C0" w:rsidP="003802C0">
      <w:pPr>
        <w:pStyle w:val="NormaleWeb"/>
        <w:autoSpaceDE w:val="0"/>
        <w:autoSpaceDN w:val="0"/>
        <w:adjustRightInd w:val="0"/>
        <w:spacing w:before="0" w:beforeAutospacing="0" w:after="0" w:afterAutospacing="0"/>
        <w:jc w:val="both"/>
        <w:rPr>
          <w:color w:val="000000"/>
        </w:rPr>
      </w:pPr>
      <w:r>
        <w:rPr>
          <w:rFonts w:ascii="Arial" w:hAnsi="Arial" w:cs="Arial"/>
          <w:color w:val="000000"/>
        </w:rPr>
        <w:t xml:space="preserve">Tra le condizioni e problematiche </w:t>
      </w:r>
      <w:r>
        <w:rPr>
          <w:rFonts w:ascii="Arial" w:hAnsi="Arial" w:cs="Arial"/>
          <w:b/>
          <w:bCs/>
          <w:color w:val="000000"/>
        </w:rPr>
        <w:t>esogene</w:t>
      </w:r>
      <w:r>
        <w:rPr>
          <w:rFonts w:ascii="Arial" w:hAnsi="Arial" w:cs="Arial"/>
          <w:color w:val="000000"/>
        </w:rPr>
        <w:t xml:space="preserve"> o contestuali i commercialisti ricordano “i </w:t>
      </w:r>
      <w:r>
        <w:rPr>
          <w:rFonts w:ascii="Arial" w:hAnsi="Arial" w:cs="Arial"/>
          <w:b/>
          <w:bCs/>
          <w:color w:val="000000"/>
        </w:rPr>
        <w:t>tempi drammaticamente lungh</w:t>
      </w:r>
      <w:r>
        <w:rPr>
          <w:rFonts w:ascii="Arial" w:hAnsi="Arial" w:cs="Arial"/>
          <w:color w:val="000000"/>
        </w:rPr>
        <w:t xml:space="preserve">i intercorrenti tra il provvedimento di sequestro e quello di confisca definitiva </w:t>
      </w:r>
      <w:r>
        <w:rPr>
          <w:rFonts w:ascii="Arial" w:hAnsi="Arial" w:cs="Arial"/>
          <w:i/>
          <w:iCs/>
          <w:color w:val="000000"/>
        </w:rPr>
        <w:t>(</w:t>
      </w:r>
      <w:r>
        <w:rPr>
          <w:rFonts w:ascii="Arial" w:hAnsi="Arial" w:cs="Arial"/>
          <w:color w:val="000000"/>
        </w:rPr>
        <w:t xml:space="preserve">in media </w:t>
      </w:r>
      <w:r>
        <w:rPr>
          <w:rFonts w:ascii="Arial" w:hAnsi="Arial" w:cs="Arial"/>
          <w:b/>
          <w:bCs/>
          <w:color w:val="000000"/>
        </w:rPr>
        <w:t>8 anni</w:t>
      </w:r>
      <w:r>
        <w:rPr>
          <w:rFonts w:ascii="Arial" w:hAnsi="Arial" w:cs="Arial"/>
          <w:color w:val="000000"/>
        </w:rPr>
        <w:t xml:space="preserve"> secondo alcune indagini empiriche) che determinano una prima dispersione di valore del complesso aziendale. Durante questo ampio arco temporale, inoltre, le aziende sottoposte a misure di prevenzione sono gestite da </w:t>
      </w:r>
      <w:r>
        <w:rPr>
          <w:rFonts w:ascii="Arial" w:hAnsi="Arial" w:cs="Arial"/>
          <w:b/>
          <w:bCs/>
          <w:color w:val="000000"/>
        </w:rPr>
        <w:t>amministratori giudiziari</w:t>
      </w:r>
      <w:r>
        <w:rPr>
          <w:rFonts w:ascii="Arial" w:hAnsi="Arial" w:cs="Arial"/>
          <w:color w:val="000000"/>
        </w:rPr>
        <w:t xml:space="preserve"> i quali sono chiamati al difficile compito di conservare e custodire il valore aziendale, per garantire la continuità sul mercato delle stesse entità”. </w:t>
      </w:r>
    </w:p>
    <w:p w:rsidR="003802C0" w:rsidRDefault="003802C0" w:rsidP="003802C0">
      <w:pPr>
        <w:pStyle w:val="NormaleWeb"/>
        <w:autoSpaceDE w:val="0"/>
        <w:autoSpaceDN w:val="0"/>
        <w:adjustRightInd w:val="0"/>
        <w:spacing w:before="0" w:beforeAutospacing="0" w:after="0" w:afterAutospacing="0"/>
        <w:jc w:val="both"/>
        <w:rPr>
          <w:color w:val="000000"/>
        </w:rPr>
      </w:pPr>
    </w:p>
    <w:p w:rsidR="003802C0" w:rsidRDefault="003802C0" w:rsidP="003802C0">
      <w:pPr>
        <w:pStyle w:val="NormaleWeb"/>
        <w:autoSpaceDE w:val="0"/>
        <w:autoSpaceDN w:val="0"/>
        <w:adjustRightInd w:val="0"/>
        <w:spacing w:before="0" w:beforeAutospacing="0" w:after="0" w:afterAutospacing="0"/>
        <w:jc w:val="both"/>
        <w:rPr>
          <w:color w:val="000000"/>
        </w:rPr>
      </w:pPr>
      <w:r>
        <w:rPr>
          <w:rFonts w:ascii="Arial" w:hAnsi="Arial" w:cs="Arial"/>
          <w:color w:val="000000"/>
        </w:rPr>
        <w:t xml:space="preserve">“L’assenza di qualsivoglia documentazione a supporto – scrivono ancora i tre consiglieri nazionali - rende sovente assai difficile anche produrre le </w:t>
      </w:r>
      <w:r>
        <w:rPr>
          <w:rFonts w:ascii="Arial" w:hAnsi="Arial" w:cs="Arial"/>
          <w:b/>
          <w:bCs/>
          <w:color w:val="000000"/>
        </w:rPr>
        <w:t>sintesi contabili</w:t>
      </w:r>
      <w:r>
        <w:rPr>
          <w:rFonts w:ascii="Arial" w:hAnsi="Arial" w:cs="Arial"/>
          <w:color w:val="000000"/>
        </w:rPr>
        <w:t xml:space="preserve">, che rappresentano nella normalità dei casi il punto di partenza dell’esperto valutatore, quale che sia il metodo di valutazione prescelto. Tali elementi, non possono che riflettersi sulla successiva valutazione del complesso aziendale. Le </w:t>
      </w:r>
      <w:proofErr w:type="gramStart"/>
      <w:r>
        <w:rPr>
          <w:rFonts w:ascii="Arial" w:hAnsi="Arial" w:cs="Arial"/>
          <w:color w:val="000000"/>
        </w:rPr>
        <w:t>summenzionate</w:t>
      </w:r>
      <w:proofErr w:type="gramEnd"/>
      <w:r>
        <w:rPr>
          <w:rFonts w:ascii="Arial" w:hAnsi="Arial" w:cs="Arial"/>
          <w:color w:val="000000"/>
        </w:rPr>
        <w:t xml:space="preserve"> difficoltà non dovrebbero portare, peraltro, a ritenere come fallimentare ogni tentativo di riconoscere un valore alle aziende sottoposte a misure di prevenzione, come alcune recenti tesi hanno mirato a dimostrare”. Le linee guida messe a punto dal Consiglio nazionale con </w:t>
      </w:r>
      <w:proofErr w:type="spellStart"/>
      <w:r>
        <w:rPr>
          <w:rFonts w:ascii="Arial" w:hAnsi="Arial" w:cs="Arial"/>
          <w:color w:val="000000"/>
        </w:rPr>
        <w:t>Sidrea</w:t>
      </w:r>
      <w:proofErr w:type="spellEnd"/>
      <w:r>
        <w:rPr>
          <w:rFonts w:ascii="Arial" w:hAnsi="Arial" w:cs="Arial"/>
          <w:color w:val="000000"/>
        </w:rPr>
        <w:t>, concludono Marcello, Giancola e Tedesco, “sono dunque uno strumento di lavoro grazie al quale superare queste difficoltà, garantendo trasparenza e attendibilità alle stime e prassi consolidate per i professionisti”</w:t>
      </w:r>
    </w:p>
    <w:p w:rsidR="00A22943" w:rsidRPr="00A22943" w:rsidRDefault="00A22943" w:rsidP="003802C0">
      <w:pPr>
        <w:spacing w:after="0" w:line="240" w:lineRule="auto"/>
        <w:jc w:val="both"/>
        <w:rPr>
          <w:rFonts w:ascii="Arial" w:hAnsi="Arial" w:cs="Arial"/>
          <w:b/>
          <w:bCs/>
          <w:sz w:val="24"/>
          <w:szCs w:val="24"/>
        </w:rPr>
      </w:pPr>
    </w:p>
    <w:p w:rsidR="008B2BC7" w:rsidRDefault="008B2BC7" w:rsidP="003802C0">
      <w:pPr>
        <w:pStyle w:val="NormaleWeb"/>
        <w:spacing w:before="0" w:beforeAutospacing="0" w:after="0" w:afterAutospacing="0"/>
        <w:jc w:val="both"/>
      </w:pPr>
    </w:p>
    <w:p w:rsidR="00E94EF5" w:rsidRPr="00656807" w:rsidRDefault="00E94EF5" w:rsidP="003802C0">
      <w:pPr>
        <w:spacing w:after="0" w:line="240" w:lineRule="auto"/>
        <w:jc w:val="both"/>
        <w:rPr>
          <w:rFonts w:ascii="Arial" w:eastAsiaTheme="minorHAnsi" w:hAnsi="Arial" w:cs="Arial"/>
          <w:b/>
          <w:color w:val="auto"/>
          <w:lang w:eastAsia="en-US"/>
        </w:rPr>
      </w:pPr>
      <w:r w:rsidRPr="00656807">
        <w:rPr>
          <w:rFonts w:ascii="Arial" w:eastAsiaTheme="minorHAnsi" w:hAnsi="Arial" w:cs="Arial"/>
          <w:b/>
          <w:color w:val="auto"/>
          <w:lang w:eastAsia="en-US"/>
        </w:rPr>
        <w:t>--</w:t>
      </w:r>
    </w:p>
    <w:p w:rsidR="00E94EF5" w:rsidRPr="00656807" w:rsidRDefault="00E94EF5" w:rsidP="003802C0">
      <w:pPr>
        <w:spacing w:after="0" w:line="240" w:lineRule="auto"/>
        <w:jc w:val="both"/>
        <w:rPr>
          <w:rFonts w:ascii="Arial" w:eastAsiaTheme="minorHAnsi" w:hAnsi="Arial" w:cs="Arial"/>
          <w:b/>
          <w:color w:val="auto"/>
          <w:lang w:eastAsia="en-US"/>
        </w:rPr>
      </w:pPr>
      <w:r w:rsidRPr="00656807">
        <w:rPr>
          <w:rFonts w:ascii="Arial" w:eastAsiaTheme="minorHAnsi" w:hAnsi="Arial" w:cs="Arial"/>
          <w:b/>
          <w:color w:val="auto"/>
          <w:lang w:eastAsia="en-US"/>
        </w:rPr>
        <w:t>Ufficio stampa Consiglio Nazionale Commercialisti</w:t>
      </w:r>
    </w:p>
    <w:p w:rsidR="00E94EF5" w:rsidRPr="00656807" w:rsidRDefault="008B2BC7" w:rsidP="003802C0">
      <w:pPr>
        <w:spacing w:after="0" w:line="240" w:lineRule="auto"/>
        <w:jc w:val="both"/>
        <w:rPr>
          <w:rFonts w:ascii="Arial" w:eastAsiaTheme="minorHAnsi" w:hAnsi="Arial" w:cs="Arial"/>
          <w:color w:val="auto"/>
          <w:lang w:eastAsia="en-US"/>
        </w:rPr>
      </w:pPr>
      <w:r>
        <w:rPr>
          <w:rFonts w:ascii="Arial" w:eastAsiaTheme="minorHAnsi" w:hAnsi="Arial" w:cs="Arial"/>
          <w:color w:val="auto"/>
          <w:lang w:eastAsia="en-US"/>
        </w:rPr>
        <w:t>Mauro Parracino</w:t>
      </w:r>
    </w:p>
    <w:p w:rsidR="00E94EF5" w:rsidRPr="00656807" w:rsidRDefault="008B2BC7" w:rsidP="003802C0">
      <w:pPr>
        <w:spacing w:after="0" w:line="240" w:lineRule="auto"/>
        <w:jc w:val="both"/>
        <w:rPr>
          <w:rFonts w:ascii="Arial" w:eastAsiaTheme="minorHAnsi" w:hAnsi="Arial" w:cs="Arial"/>
          <w:color w:val="auto"/>
          <w:lang w:eastAsia="en-US"/>
        </w:rPr>
      </w:pPr>
      <w:r>
        <w:rPr>
          <w:rFonts w:ascii="Arial" w:eastAsiaTheme="minorHAnsi" w:hAnsi="Arial" w:cs="Arial"/>
          <w:color w:val="auto"/>
          <w:lang w:eastAsia="en-US"/>
        </w:rPr>
        <w:t>parracino</w:t>
      </w:r>
      <w:r w:rsidR="00E94EF5" w:rsidRPr="00656807">
        <w:rPr>
          <w:rFonts w:ascii="Arial" w:eastAsiaTheme="minorHAnsi" w:hAnsi="Arial" w:cs="Arial"/>
          <w:color w:val="auto"/>
          <w:lang w:eastAsia="en-US"/>
        </w:rPr>
        <w:t>@commercialisti.it</w:t>
      </w:r>
    </w:p>
    <w:p w:rsidR="00E94EF5" w:rsidRPr="00656807" w:rsidRDefault="00E94EF5" w:rsidP="003802C0">
      <w:pPr>
        <w:spacing w:after="0" w:line="240" w:lineRule="auto"/>
        <w:jc w:val="both"/>
        <w:rPr>
          <w:rFonts w:ascii="Arial" w:eastAsiaTheme="minorEastAsia" w:hAnsi="Arial" w:cs="Arial"/>
          <w:color w:val="auto"/>
        </w:rPr>
      </w:pPr>
      <w:r w:rsidRPr="00656807">
        <w:rPr>
          <w:rFonts w:ascii="Arial" w:eastAsiaTheme="minorEastAsia" w:hAnsi="Arial" w:cs="Arial"/>
          <w:color w:val="auto"/>
        </w:rPr>
        <w:t>06.47863</w:t>
      </w:r>
      <w:r w:rsidR="00F21493">
        <w:rPr>
          <w:rFonts w:ascii="Arial" w:eastAsiaTheme="minorEastAsia" w:hAnsi="Arial" w:cs="Arial"/>
          <w:color w:val="auto"/>
        </w:rPr>
        <w:t>327</w:t>
      </w:r>
    </w:p>
    <w:p w:rsidR="006501AD" w:rsidRPr="00656807" w:rsidRDefault="006501AD" w:rsidP="003802C0">
      <w:pPr>
        <w:spacing w:after="0" w:line="240" w:lineRule="auto"/>
        <w:jc w:val="both"/>
        <w:rPr>
          <w:rFonts w:ascii="Arial" w:hAnsi="Arial" w:cs="Arial"/>
        </w:rPr>
      </w:pPr>
    </w:p>
    <w:sectPr w:rsidR="006501AD" w:rsidRPr="0065680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75E" w:rsidRDefault="00D0675E" w:rsidP="00E94EF5">
      <w:pPr>
        <w:spacing w:after="0" w:line="240" w:lineRule="auto"/>
      </w:pPr>
      <w:r>
        <w:separator/>
      </w:r>
    </w:p>
  </w:endnote>
  <w:endnote w:type="continuationSeparator" w:id="0">
    <w:p w:rsidR="00D0675E" w:rsidRDefault="00D0675E" w:rsidP="00E9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75E" w:rsidRDefault="00D0675E" w:rsidP="00E94EF5">
      <w:pPr>
        <w:spacing w:after="0" w:line="240" w:lineRule="auto"/>
      </w:pPr>
      <w:r>
        <w:separator/>
      </w:r>
    </w:p>
  </w:footnote>
  <w:footnote w:type="continuationSeparator" w:id="0">
    <w:p w:rsidR="00D0675E" w:rsidRDefault="00D0675E" w:rsidP="00E94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EF5" w:rsidRDefault="00E94EF5">
    <w:pPr>
      <w:pStyle w:val="Intestazione"/>
    </w:pPr>
    <w:r w:rsidRPr="00A945F8">
      <w:rPr>
        <w:noProof/>
      </w:rPr>
      <w:drawing>
        <wp:inline distT="0" distB="0" distL="0" distR="0" wp14:anchorId="0C765199" wp14:editId="32251FF8">
          <wp:extent cx="6120130" cy="970915"/>
          <wp:effectExtent l="0" t="0" r="0" b="635"/>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0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9" style="width:12.75pt;height:12.75pt" coordsize="" o:spt="100" o:bullet="t" adj="0,,0" path="" stroked="f">
        <v:stroke joinstyle="miter"/>
        <v:imagedata r:id="rId1" o:title="image5"/>
        <v:formulas/>
        <v:path o:connecttype="segments"/>
      </v:shape>
    </w:pict>
  </w:numPicBullet>
  <w:abstractNum w:abstractNumId="0" w15:restartNumberingAfterBreak="0">
    <w:nsid w:val="082116EC"/>
    <w:multiLevelType w:val="hybridMultilevel"/>
    <w:tmpl w:val="3BDAABDA"/>
    <w:lvl w:ilvl="0" w:tplc="3FFC0BE8">
      <w:start w:val="1"/>
      <w:numFmt w:val="bullet"/>
      <w:lvlText w:val="•"/>
      <w:lvlPicBulletId w:val="0"/>
      <w:lvlJc w:val="left"/>
      <w:pPr>
        <w:ind w:left="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D65B96">
      <w:start w:val="1"/>
      <w:numFmt w:val="bullet"/>
      <w:lvlText w:val="o"/>
      <w:lvlJc w:val="left"/>
      <w:pPr>
        <w:ind w:left="1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E65B62">
      <w:start w:val="1"/>
      <w:numFmt w:val="bullet"/>
      <w:lvlText w:val="▪"/>
      <w:lvlJc w:val="left"/>
      <w:pPr>
        <w:ind w:left="2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3699BE">
      <w:start w:val="1"/>
      <w:numFmt w:val="bullet"/>
      <w:lvlText w:val="•"/>
      <w:lvlJc w:val="left"/>
      <w:pPr>
        <w:ind w:left="3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EA1448">
      <w:start w:val="1"/>
      <w:numFmt w:val="bullet"/>
      <w:lvlText w:val="o"/>
      <w:lvlJc w:val="left"/>
      <w:pPr>
        <w:ind w:left="4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A62DCC">
      <w:start w:val="1"/>
      <w:numFmt w:val="bullet"/>
      <w:lvlText w:val="▪"/>
      <w:lvlJc w:val="left"/>
      <w:pPr>
        <w:ind w:left="4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44B206">
      <w:start w:val="1"/>
      <w:numFmt w:val="bullet"/>
      <w:lvlText w:val="•"/>
      <w:lvlJc w:val="left"/>
      <w:pPr>
        <w:ind w:left="5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D25F22">
      <w:start w:val="1"/>
      <w:numFmt w:val="bullet"/>
      <w:lvlText w:val="o"/>
      <w:lvlJc w:val="left"/>
      <w:pPr>
        <w:ind w:left="6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D845B2">
      <w:start w:val="1"/>
      <w:numFmt w:val="bullet"/>
      <w:lvlText w:val="▪"/>
      <w:lvlJc w:val="left"/>
      <w:pPr>
        <w:ind w:left="6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FD"/>
    <w:rsid w:val="00013C93"/>
    <w:rsid w:val="00152769"/>
    <w:rsid w:val="001611FD"/>
    <w:rsid w:val="003802C0"/>
    <w:rsid w:val="00414D7A"/>
    <w:rsid w:val="004359FD"/>
    <w:rsid w:val="00462261"/>
    <w:rsid w:val="005335AD"/>
    <w:rsid w:val="005352EC"/>
    <w:rsid w:val="00594C97"/>
    <w:rsid w:val="005E025B"/>
    <w:rsid w:val="006110C9"/>
    <w:rsid w:val="006501AD"/>
    <w:rsid w:val="00656807"/>
    <w:rsid w:val="00742856"/>
    <w:rsid w:val="0077770D"/>
    <w:rsid w:val="007D7E8A"/>
    <w:rsid w:val="00841D72"/>
    <w:rsid w:val="00853961"/>
    <w:rsid w:val="008B2BC7"/>
    <w:rsid w:val="008F7296"/>
    <w:rsid w:val="00957949"/>
    <w:rsid w:val="0097375D"/>
    <w:rsid w:val="00985C60"/>
    <w:rsid w:val="00A15F52"/>
    <w:rsid w:val="00A22943"/>
    <w:rsid w:val="00A24F94"/>
    <w:rsid w:val="00AC7E3C"/>
    <w:rsid w:val="00AF42BC"/>
    <w:rsid w:val="00AF5442"/>
    <w:rsid w:val="00B10811"/>
    <w:rsid w:val="00CB7C59"/>
    <w:rsid w:val="00D0675E"/>
    <w:rsid w:val="00D91431"/>
    <w:rsid w:val="00DD3040"/>
    <w:rsid w:val="00E329A2"/>
    <w:rsid w:val="00E7012B"/>
    <w:rsid w:val="00E76424"/>
    <w:rsid w:val="00E94EF5"/>
    <w:rsid w:val="00EC69E5"/>
    <w:rsid w:val="00ED226A"/>
    <w:rsid w:val="00F21493"/>
    <w:rsid w:val="00F51F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C7C6"/>
  <w15:chartTrackingRefBased/>
  <w15:docId w15:val="{A7F16E73-B5EA-4EB1-8F13-55A48073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359FD"/>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94E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4EF5"/>
    <w:rPr>
      <w:rFonts w:ascii="Calibri" w:eastAsia="Calibri" w:hAnsi="Calibri" w:cs="Calibri"/>
      <w:color w:val="000000"/>
      <w:lang w:eastAsia="it-IT"/>
    </w:rPr>
  </w:style>
  <w:style w:type="paragraph" w:styleId="Pidipagina">
    <w:name w:val="footer"/>
    <w:basedOn w:val="Normale"/>
    <w:link w:val="PidipaginaCarattere"/>
    <w:uiPriority w:val="99"/>
    <w:unhideWhenUsed/>
    <w:rsid w:val="00E94E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4EF5"/>
    <w:rPr>
      <w:rFonts w:ascii="Calibri" w:eastAsia="Calibri" w:hAnsi="Calibri" w:cs="Calibri"/>
      <w:color w:val="000000"/>
      <w:lang w:eastAsia="it-IT"/>
    </w:rPr>
  </w:style>
  <w:style w:type="paragraph" w:styleId="NormaleWeb">
    <w:name w:val="Normal (Web)"/>
    <w:basedOn w:val="Normale"/>
    <w:uiPriority w:val="99"/>
    <w:unhideWhenUsed/>
    <w:rsid w:val="006568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grassetto">
    <w:name w:val="Strong"/>
    <w:basedOn w:val="Carpredefinitoparagrafo"/>
    <w:uiPriority w:val="22"/>
    <w:qFormat/>
    <w:rsid w:val="00656807"/>
    <w:rPr>
      <w:b/>
      <w:bCs/>
    </w:rPr>
  </w:style>
  <w:style w:type="character" w:styleId="Collegamentoipertestuale">
    <w:name w:val="Hyperlink"/>
    <w:basedOn w:val="Carpredefinitoparagrafo"/>
    <w:uiPriority w:val="99"/>
    <w:semiHidden/>
    <w:unhideWhenUsed/>
    <w:rsid w:val="00656807"/>
    <w:rPr>
      <w:color w:val="0000FF"/>
      <w:u w:val="single"/>
    </w:rPr>
  </w:style>
  <w:style w:type="character" w:customStyle="1" w:styleId="58cm">
    <w:name w:val="_58cm"/>
    <w:basedOn w:val="Carpredefinitoparagrafo"/>
    <w:rsid w:val="00EC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0205">
      <w:bodyDiv w:val="1"/>
      <w:marLeft w:val="0"/>
      <w:marRight w:val="0"/>
      <w:marTop w:val="0"/>
      <w:marBottom w:val="0"/>
      <w:divBdr>
        <w:top w:val="none" w:sz="0" w:space="0" w:color="auto"/>
        <w:left w:val="none" w:sz="0" w:space="0" w:color="auto"/>
        <w:bottom w:val="none" w:sz="0" w:space="0" w:color="auto"/>
        <w:right w:val="none" w:sz="0" w:space="0" w:color="auto"/>
      </w:divBdr>
    </w:div>
    <w:div w:id="255019708">
      <w:bodyDiv w:val="1"/>
      <w:marLeft w:val="0"/>
      <w:marRight w:val="0"/>
      <w:marTop w:val="0"/>
      <w:marBottom w:val="0"/>
      <w:divBdr>
        <w:top w:val="none" w:sz="0" w:space="0" w:color="auto"/>
        <w:left w:val="none" w:sz="0" w:space="0" w:color="auto"/>
        <w:bottom w:val="none" w:sz="0" w:space="0" w:color="auto"/>
        <w:right w:val="none" w:sz="0" w:space="0" w:color="auto"/>
      </w:divBdr>
    </w:div>
    <w:div w:id="729307585">
      <w:bodyDiv w:val="1"/>
      <w:marLeft w:val="0"/>
      <w:marRight w:val="0"/>
      <w:marTop w:val="0"/>
      <w:marBottom w:val="0"/>
      <w:divBdr>
        <w:top w:val="none" w:sz="0" w:space="0" w:color="auto"/>
        <w:left w:val="none" w:sz="0" w:space="0" w:color="auto"/>
        <w:bottom w:val="none" w:sz="0" w:space="0" w:color="auto"/>
        <w:right w:val="none" w:sz="0" w:space="0" w:color="auto"/>
      </w:divBdr>
    </w:div>
    <w:div w:id="1193033476">
      <w:bodyDiv w:val="1"/>
      <w:marLeft w:val="0"/>
      <w:marRight w:val="0"/>
      <w:marTop w:val="0"/>
      <w:marBottom w:val="0"/>
      <w:divBdr>
        <w:top w:val="none" w:sz="0" w:space="0" w:color="auto"/>
        <w:left w:val="none" w:sz="0" w:space="0" w:color="auto"/>
        <w:bottom w:val="none" w:sz="0" w:space="0" w:color="auto"/>
        <w:right w:val="none" w:sz="0" w:space="0" w:color="auto"/>
      </w:divBdr>
    </w:div>
    <w:div w:id="1949581103">
      <w:bodyDiv w:val="1"/>
      <w:marLeft w:val="0"/>
      <w:marRight w:val="0"/>
      <w:marTop w:val="0"/>
      <w:marBottom w:val="0"/>
      <w:divBdr>
        <w:top w:val="none" w:sz="0" w:space="0" w:color="auto"/>
        <w:left w:val="none" w:sz="0" w:space="0" w:color="auto"/>
        <w:bottom w:val="none" w:sz="0" w:space="0" w:color="auto"/>
        <w:right w:val="none" w:sz="0" w:space="0" w:color="auto"/>
      </w:divBdr>
    </w:div>
    <w:div w:id="2141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864</Words>
  <Characters>4930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6</cp:revision>
  <dcterms:created xsi:type="dcterms:W3CDTF">2020-04-27T09:35:00Z</dcterms:created>
  <dcterms:modified xsi:type="dcterms:W3CDTF">2020-05-04T17:57:00Z</dcterms:modified>
</cp:coreProperties>
</file>