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167" w14:textId="77777777" w:rsidR="00EE3EB1" w:rsidRDefault="00EE3EB1" w:rsidP="00885D4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879421" w14:textId="63901DC9" w:rsid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</w:pPr>
      <w:r w:rsidRPr="00264262">
        <w:rPr>
          <w:rFonts w:ascii="Arial" w:hAnsi="Arial" w:cs="Arial"/>
          <w:b/>
          <w:bCs/>
          <w:color w:val="242424"/>
          <w:sz w:val="22"/>
          <w:szCs w:val="22"/>
          <w:u w:val="single"/>
          <w:bdr w:val="none" w:sz="0" w:space="0" w:color="auto" w:frame="1"/>
        </w:rPr>
        <w:t>Comunicato stampa</w:t>
      </w:r>
    </w:p>
    <w:p w14:paraId="2AD398A3" w14:textId="77777777" w:rsidR="00DF4739" w:rsidRPr="00264262" w:rsidRDefault="00DF4739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</w:rPr>
      </w:pPr>
    </w:p>
    <w:p w14:paraId="446D50C9" w14:textId="141FF8DA" w:rsid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SIGLATO PROTOCOLLO DI INTESA TRA CONSIGLIO NAZIONALE COMMERCIALISTI ED ENTE NAZIONALE MICROCREDITO</w:t>
      </w:r>
    </w:p>
    <w:p w14:paraId="35621A35" w14:textId="0F943142" w:rsid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30C0FE38" w14:textId="7FF1938C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Rafforzata la collaborazione tra i due Enti. Cresce il ruolo di tutoraggio dei commercialisti </w:t>
      </w:r>
    </w:p>
    <w:p w14:paraId="76E583F4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 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5E043122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i/>
          <w:iCs/>
          <w:color w:val="242424"/>
          <w:sz w:val="22"/>
          <w:szCs w:val="22"/>
          <w:bdr w:val="none" w:sz="0" w:space="0" w:color="auto" w:frame="1"/>
        </w:rPr>
        <w:t>Roma, 4 aprile 2023 –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Promuovere l’educazione finanziaria, la cultura d’impresa e l’inclusione sociale e finanziaria dei soggetti più vulnerabili della società. È con queste finalità che oggi è stato firmato un 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protocollo d’intesa triennale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tra 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Elbano de Nuccio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, presidente del Consiglio nazionale dei commercialisti, e 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Mario Baccini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, presidente dell’Ente Nazionale per il Microcredito, grazie al quale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si rinnova e si rafforza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la collaborazione tra i due enti. Entrambe le parti hanno il comune interesse a supportare le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attività imprenditoriali sostenibili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, da un punto di vista sociale, economico ed ambientale e a favorire l’avvio di iniziative micro-imprenditoriali e l’utilizzo degli strumenti propri del microcredito e della microfinanza. Tra le attività che scaturiranno dalla collaborazione tra Consiglio nazionale e dell’Ente Nazionale per il Microcredito, vi è anche quella di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formazione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per i commercialisti finalizzata all’iscrizione ad una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short list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riservata a quanti intendono svolgere l’attività di tutoraggio per l’accesso al microcredito. La formazione sarà svolta congiuntamente dal Consiglio nazionale e dall’Ente per il Microcredito. </w:t>
      </w:r>
    </w:p>
    <w:p w14:paraId="61DDCB2D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14C877C9" w14:textId="2A6BF9CA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In particolare, verr</w:t>
      </w:r>
      <w:r w:rsidR="00527201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à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sviluppat</w:t>
      </w:r>
      <w:r w:rsidR="00527201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una serie di temi: promozione delle opportunità di sostegno economico e di tutoring a microimprese e professionisti rientranti nei parametri individuati dall’art. 111 del Testo Unico Bancario (TUB); promozione delle attività di finanziamento alle microimprese agricole attraverso lo strumento del microcredito rurale assistito dalla garanzia ISMEA e dalla garanzia MCC; l’attivazione di Sportelli territoriali per il microcredito; attività congiunta di progettazione; promozione del microcredito sociale a sostegno di persone fisiche e famiglie in condizione di particolare vulnerabilità; attività di studio, ricerca e ingegnerizzazione di nuove soluzioni; educazione finanziaria, sviluppo della cultura imprenditoriale, divulgazione dei principi solidali e dell’etica del profitto.</w:t>
      </w:r>
    </w:p>
    <w:p w14:paraId="69A805DA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6DF55FFF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Per quanto riguarda la promozione delle opportunità di sostegno economico e di tutoring a microimprese e professionisti rientranti nei parametri individuati dal TUB, il Consiglio nazionale dei commercialisti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promuoverà tra i propri iscritti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le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opportunità di finanziamento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tramite lo strumento del microcredito e del microcredito rurale, attivando apposite iniziative di divulgazione degli strumenti in questione da sviluppare presso gli ordini territoriali.</w:t>
      </w:r>
    </w:p>
    <w:p w14:paraId="7970B7BD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 </w:t>
      </w:r>
    </w:p>
    <w:p w14:paraId="18B658F6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Consiglio nazionale e Ente nazionale per il microcredito collaboreranno al fine di realizzare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attività congiunte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di progettazione a valere su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fondi strutturali e d’investimento europei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, su risorse dirette della Commissione europea, su programmi internazionali o su risorse private ed opereranno al fine di poter creare specifici programmi di microcredito sociale a sostegno di persone fisiche e famiglie in condizione di particolare vulnerabilità. Tale linea di azione potrà essere finanziata per mezzo di risorse reperite da soggetti pubblici e/o privati.</w:t>
      </w:r>
    </w:p>
    <w:p w14:paraId="07582522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14:paraId="5B954465" w14:textId="2F0028A4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“Il microcredito – ha affermato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Mario Baccini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- è uno strumento fondamentale per sostenere il tessuto socioeconomico del sistema Paese in un quadro di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sviluppo e sostenibilità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che non può prescindere da quel mondo professionale che vede primi tra tutti i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commercialisti come pilastro di impresa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. Rinnovare questo accordo valorizza sia le attività dirette 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che quelle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indirette dei progetti microfinanziari”. </w:t>
      </w:r>
    </w:p>
    <w:p w14:paraId="086DB5A1" w14:textId="77777777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14:paraId="1774B039" w14:textId="28B6B0A6" w:rsidR="00264262" w:rsidRDefault="0037398B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lastRenderedPageBreak/>
        <w:t xml:space="preserve">“Quello siglato oggi – afferma </w:t>
      </w:r>
      <w:r w:rsidRPr="0037398B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Elbano de Nuccio</w:t>
      </w: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– è un protocollo molto importante dal punto di vista </w:t>
      </w:r>
      <w:r w:rsidRPr="0037398B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economico e sociale</w:t>
      </w: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, con il quale puntiamo a rafforzare ulteriormente l’impegno dei commercialisti in un ambito tanto rilevante per i </w:t>
      </w:r>
      <w:r w:rsidRPr="0037398B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soggetti più deboli e vulnerabili</w:t>
      </w: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. Anche in questo settore il ruolo della professione è destinato ad essere </w:t>
      </w:r>
      <w:r w:rsidRPr="0037398B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sempre più rilevante</w:t>
      </w: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, sia per la funzione sociale svolta, sia per la </w:t>
      </w:r>
      <w:r w:rsidRPr="0037398B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crescita di opportunità di lavoro</w:t>
      </w:r>
      <w:r w:rsidRPr="0037398B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che ne deriveranno per i nostri colleghi”.</w:t>
      </w:r>
    </w:p>
    <w:p w14:paraId="03A3952B" w14:textId="77777777" w:rsidR="0037398B" w:rsidRPr="00264262" w:rsidRDefault="0037398B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</w:pPr>
    </w:p>
    <w:p w14:paraId="72993C1E" w14:textId="2DA99660" w:rsidR="00264262" w:rsidRPr="00264262" w:rsidRDefault="00264262" w:rsidP="002642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sz w:val="22"/>
          <w:szCs w:val="22"/>
        </w:rPr>
      </w:pP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“I commercialisti – spiega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Antonio Repaci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, consigliere nazionale dei commercialisti con delega alla finanza aziendale – saranno sempre più determinanti nella fase di analisi finalizzat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a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all’ottenimento 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dei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finanziamenti. Metteremo in campo una significativa azione di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formazione al tutoraggio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e promuoveremo sui territori i contenuti di questo protocollo e gli sviluppi che possono derivarne per il sistema economico e per la </w:t>
      </w:r>
      <w:r w:rsidRPr="00264262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professione</w:t>
      </w:r>
      <w:r w:rsidRPr="00264262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”. </w:t>
      </w:r>
    </w:p>
    <w:p w14:paraId="7BA43AB0" w14:textId="77777777" w:rsidR="00264262" w:rsidRPr="00264262" w:rsidRDefault="00264262" w:rsidP="00264262">
      <w:pPr>
        <w:rPr>
          <w:rFonts w:ascii="Arial" w:hAnsi="Arial" w:cs="Arial"/>
        </w:rPr>
      </w:pPr>
    </w:p>
    <w:p w14:paraId="223DD92B" w14:textId="77777777" w:rsidR="00F00EFD" w:rsidRPr="00264262" w:rsidRDefault="00F00EFD" w:rsidP="00264262">
      <w:pPr>
        <w:spacing w:after="0" w:line="240" w:lineRule="auto"/>
        <w:jc w:val="center"/>
        <w:rPr>
          <w:rFonts w:ascii="Arial" w:hAnsi="Arial" w:cs="Arial"/>
        </w:rPr>
      </w:pPr>
    </w:p>
    <w:sectPr w:rsidR="00F00EFD" w:rsidRPr="002642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1601" w14:textId="77777777" w:rsidR="00A53B06" w:rsidRDefault="00A53B06" w:rsidP="00EE3EB1">
      <w:pPr>
        <w:spacing w:after="0" w:line="240" w:lineRule="auto"/>
      </w:pPr>
      <w:r>
        <w:separator/>
      </w:r>
    </w:p>
  </w:endnote>
  <w:endnote w:type="continuationSeparator" w:id="0">
    <w:p w14:paraId="2DEC2A1F" w14:textId="77777777" w:rsidR="00A53B06" w:rsidRDefault="00A53B06" w:rsidP="00EE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403D" w14:textId="77777777" w:rsidR="00A53B06" w:rsidRDefault="00A53B06" w:rsidP="00EE3EB1">
      <w:pPr>
        <w:spacing w:after="0" w:line="240" w:lineRule="auto"/>
      </w:pPr>
      <w:r>
        <w:separator/>
      </w:r>
    </w:p>
  </w:footnote>
  <w:footnote w:type="continuationSeparator" w:id="0">
    <w:p w14:paraId="50CE537A" w14:textId="77777777" w:rsidR="00A53B06" w:rsidRDefault="00A53B06" w:rsidP="00EE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06D7" w14:textId="7972930B" w:rsidR="00EE3EB1" w:rsidRDefault="00B96679" w:rsidP="00B96679">
    <w:pPr>
      <w:pStyle w:val="Intestazione"/>
      <w:tabs>
        <w:tab w:val="clear" w:pos="4819"/>
        <w:tab w:val="clear" w:pos="9638"/>
        <w:tab w:val="left" w:pos="4830"/>
      </w:tabs>
    </w:pPr>
    <w:r>
      <w:t xml:space="preserve">          </w:t>
    </w:r>
    <w:r w:rsidR="00EE3EB1">
      <w:rPr>
        <w:noProof/>
      </w:rPr>
      <w:drawing>
        <wp:inline distT="0" distB="0" distL="0" distR="0" wp14:anchorId="1DF25473" wp14:editId="5AC2D0E1">
          <wp:extent cx="2095500" cy="71178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728" cy="71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B25DD20" wp14:editId="36A0E15A">
              <wp:extent cx="304800" cy="30480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F7AEB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t xml:space="preserve">      </w:t>
    </w:r>
    <w:r>
      <w:rPr>
        <w:noProof/>
      </w:rPr>
      <mc:AlternateContent>
        <mc:Choice Requires="wps">
          <w:drawing>
            <wp:inline distT="0" distB="0" distL="0" distR="0" wp14:anchorId="6B8FCF62" wp14:editId="5D9A550A">
              <wp:extent cx="304800" cy="304800"/>
              <wp:effectExtent l="0" t="0" r="0" b="0"/>
              <wp:docPr id="3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795" w14:textId="6B915FFC" w:rsidR="00B96679" w:rsidRDefault="00B96679" w:rsidP="00B96679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B8FCF6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<o:lock v:ext="edit" aspectratio="t"/>
              <v:textbox>
                <w:txbxContent>
                  <w:p w14:paraId="02E9C795" w14:textId="6B915FFC" w:rsidR="00B96679" w:rsidRDefault="00B96679" w:rsidP="00B96679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tab/>
    </w:r>
    <w:r>
      <w:rPr>
        <w:noProof/>
      </w:rPr>
      <w:drawing>
        <wp:inline distT="0" distB="0" distL="0" distR="0" wp14:anchorId="7335BA33" wp14:editId="6DE39EA2">
          <wp:extent cx="2033456" cy="1285240"/>
          <wp:effectExtent l="0" t="0" r="508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805" cy="129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C0"/>
    <w:rsid w:val="00017F99"/>
    <w:rsid w:val="00043E54"/>
    <w:rsid w:val="000749C5"/>
    <w:rsid w:val="000E1187"/>
    <w:rsid w:val="00117F93"/>
    <w:rsid w:val="00170D02"/>
    <w:rsid w:val="001862FB"/>
    <w:rsid w:val="001D665D"/>
    <w:rsid w:val="001E0EF5"/>
    <w:rsid w:val="00264262"/>
    <w:rsid w:val="00290C21"/>
    <w:rsid w:val="002C6F2A"/>
    <w:rsid w:val="002D55CF"/>
    <w:rsid w:val="003506C0"/>
    <w:rsid w:val="003576EF"/>
    <w:rsid w:val="003610F8"/>
    <w:rsid w:val="0037398B"/>
    <w:rsid w:val="003E39C9"/>
    <w:rsid w:val="003E39E8"/>
    <w:rsid w:val="004322EC"/>
    <w:rsid w:val="004652C5"/>
    <w:rsid w:val="00466187"/>
    <w:rsid w:val="004965A0"/>
    <w:rsid w:val="004E12B7"/>
    <w:rsid w:val="004E35E6"/>
    <w:rsid w:val="004E60F6"/>
    <w:rsid w:val="00527201"/>
    <w:rsid w:val="0053532B"/>
    <w:rsid w:val="0053543A"/>
    <w:rsid w:val="00540D4A"/>
    <w:rsid w:val="005E317C"/>
    <w:rsid w:val="00626EA4"/>
    <w:rsid w:val="0063244A"/>
    <w:rsid w:val="0067054E"/>
    <w:rsid w:val="006768EF"/>
    <w:rsid w:val="006967DE"/>
    <w:rsid w:val="006B73AD"/>
    <w:rsid w:val="006F4BDD"/>
    <w:rsid w:val="00711556"/>
    <w:rsid w:val="00784787"/>
    <w:rsid w:val="00885D46"/>
    <w:rsid w:val="008A53BB"/>
    <w:rsid w:val="008C526D"/>
    <w:rsid w:val="00912DC5"/>
    <w:rsid w:val="00917290"/>
    <w:rsid w:val="009175BD"/>
    <w:rsid w:val="00927B8C"/>
    <w:rsid w:val="00942DCA"/>
    <w:rsid w:val="00942EFE"/>
    <w:rsid w:val="00946118"/>
    <w:rsid w:val="00951F28"/>
    <w:rsid w:val="009529B2"/>
    <w:rsid w:val="00A51075"/>
    <w:rsid w:val="00A53B06"/>
    <w:rsid w:val="00AB3E4B"/>
    <w:rsid w:val="00B14980"/>
    <w:rsid w:val="00B24E3E"/>
    <w:rsid w:val="00B35347"/>
    <w:rsid w:val="00B96679"/>
    <w:rsid w:val="00BD4030"/>
    <w:rsid w:val="00C22107"/>
    <w:rsid w:val="00C455F5"/>
    <w:rsid w:val="00CA053F"/>
    <w:rsid w:val="00CB7D9E"/>
    <w:rsid w:val="00DA0188"/>
    <w:rsid w:val="00DC071C"/>
    <w:rsid w:val="00DF1855"/>
    <w:rsid w:val="00DF4739"/>
    <w:rsid w:val="00E303B1"/>
    <w:rsid w:val="00E62FB5"/>
    <w:rsid w:val="00E731D1"/>
    <w:rsid w:val="00E84C86"/>
    <w:rsid w:val="00EE3EB1"/>
    <w:rsid w:val="00EF426C"/>
    <w:rsid w:val="00EF74DF"/>
    <w:rsid w:val="00F00EFD"/>
    <w:rsid w:val="00F04F2A"/>
    <w:rsid w:val="00F15EFC"/>
    <w:rsid w:val="00F23C17"/>
    <w:rsid w:val="00F267BD"/>
    <w:rsid w:val="00F409EA"/>
    <w:rsid w:val="00F574AE"/>
    <w:rsid w:val="00F8716E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C192F"/>
  <w15:chartTrackingRefBased/>
  <w15:docId w15:val="{E22BAAFB-512B-4779-9A79-190C6901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3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EB1"/>
  </w:style>
  <w:style w:type="paragraph" w:styleId="Pidipagina">
    <w:name w:val="footer"/>
    <w:basedOn w:val="Normale"/>
    <w:link w:val="PidipaginaCarattere"/>
    <w:uiPriority w:val="99"/>
    <w:unhideWhenUsed/>
    <w:rsid w:val="00EE3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EB1"/>
  </w:style>
  <w:style w:type="character" w:styleId="Enfasigrassetto">
    <w:name w:val="Strong"/>
    <w:basedOn w:val="Carpredefinitoparagrafo"/>
    <w:uiPriority w:val="22"/>
    <w:qFormat/>
    <w:rsid w:val="00F8716E"/>
    <w:rPr>
      <w:b/>
      <w:bCs/>
    </w:rPr>
  </w:style>
  <w:style w:type="paragraph" w:customStyle="1" w:styleId="xmsonormal">
    <w:name w:val="x_msonormal"/>
    <w:basedOn w:val="Normale"/>
    <w:rsid w:val="0026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2023-04-04T12:37:00Z</dcterms:created>
  <dcterms:modified xsi:type="dcterms:W3CDTF">2023-04-04T14:10:00Z</dcterms:modified>
</cp:coreProperties>
</file>