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Pr="007E6761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F27EC" w:rsidRPr="007E6761" w:rsidRDefault="009F27EC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E6761">
        <w:rPr>
          <w:rFonts w:ascii="Arial" w:hAnsi="Arial" w:cs="Arial"/>
          <w:sz w:val="22"/>
          <w:szCs w:val="22"/>
        </w:rPr>
        <w:t>Comunicato stampa</w:t>
      </w:r>
    </w:p>
    <w:p w:rsidR="009D1104" w:rsidRPr="007E6761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7E6761" w:rsidRDefault="008927A3" w:rsidP="007E676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7E6761">
        <w:rPr>
          <w:rFonts w:ascii="Arial" w:hAnsi="Arial" w:cs="Arial"/>
          <w:b/>
          <w:bCs/>
          <w:sz w:val="22"/>
          <w:szCs w:val="22"/>
        </w:rPr>
        <w:t xml:space="preserve">CORONAVIRUS: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7E6761">
        <w:rPr>
          <w:rFonts w:ascii="Arial" w:hAnsi="Arial" w:cs="Arial"/>
          <w:b/>
          <w:bCs/>
          <w:sz w:val="22"/>
          <w:szCs w:val="22"/>
        </w:rPr>
        <w:t>OMMERCIALISTI,</w:t>
      </w:r>
      <w:r>
        <w:rPr>
          <w:rFonts w:ascii="Arial" w:hAnsi="Arial" w:cs="Arial"/>
          <w:b/>
          <w:bCs/>
          <w:sz w:val="22"/>
          <w:szCs w:val="22"/>
        </w:rPr>
        <w:t xml:space="preserve"> EMERGENZA SI AGGRAVA, INDIFFERIBILI </w:t>
      </w:r>
      <w:r w:rsidRPr="007E6761">
        <w:rPr>
          <w:rFonts w:ascii="Arial" w:hAnsi="Arial" w:cs="Arial"/>
          <w:b/>
          <w:bCs/>
          <w:sz w:val="22"/>
          <w:szCs w:val="22"/>
        </w:rPr>
        <w:t xml:space="preserve">MISURE </w:t>
      </w:r>
      <w:r>
        <w:rPr>
          <w:rFonts w:ascii="Arial" w:hAnsi="Arial" w:cs="Arial"/>
          <w:b/>
          <w:bCs/>
          <w:sz w:val="22"/>
          <w:szCs w:val="22"/>
        </w:rPr>
        <w:t xml:space="preserve">FISCALI </w:t>
      </w:r>
      <w:r w:rsidRPr="007E6761">
        <w:rPr>
          <w:rFonts w:ascii="Arial" w:hAnsi="Arial" w:cs="Arial"/>
          <w:b/>
          <w:bCs/>
          <w:sz w:val="22"/>
          <w:szCs w:val="22"/>
        </w:rPr>
        <w:t>CORAGGIOSE</w:t>
      </w:r>
    </w:p>
    <w:p w:rsidR="007E6761" w:rsidRPr="007E6761" w:rsidRDefault="007E6761" w:rsidP="007E676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7E6761" w:rsidRPr="007E6761" w:rsidRDefault="007E6761" w:rsidP="007E6761">
      <w:pPr>
        <w:jc w:val="both"/>
        <w:rPr>
          <w:rFonts w:ascii="Arial" w:hAnsi="Arial" w:cs="Arial"/>
          <w:sz w:val="22"/>
          <w:szCs w:val="22"/>
        </w:rPr>
      </w:pPr>
      <w:r w:rsidRPr="007E6761">
        <w:rPr>
          <w:rFonts w:ascii="Arial" w:hAnsi="Arial" w:cs="Arial"/>
          <w:b/>
          <w:bCs/>
          <w:sz w:val="22"/>
          <w:szCs w:val="22"/>
        </w:rPr>
        <w:t>Miani: “Il Governo deve intervenire senza indugio per arginare l’emergenza economico-finanziaria, ancor più che sanitaria, in atto”</w:t>
      </w:r>
    </w:p>
    <w:p w:rsidR="007E6761" w:rsidRPr="007E6761" w:rsidRDefault="007E6761" w:rsidP="007E6761">
      <w:pPr>
        <w:jc w:val="both"/>
        <w:rPr>
          <w:rFonts w:ascii="Arial" w:hAnsi="Arial" w:cs="Arial"/>
          <w:sz w:val="22"/>
          <w:szCs w:val="22"/>
        </w:rPr>
      </w:pPr>
    </w:p>
    <w:p w:rsidR="007E6761" w:rsidRPr="00D73702" w:rsidRDefault="007E6761" w:rsidP="007E6761">
      <w:p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i/>
          <w:iCs/>
          <w:sz w:val="20"/>
          <w:szCs w:val="20"/>
        </w:rPr>
        <w:t>Roma, 4 aprile 2020 –</w:t>
      </w:r>
      <w:r w:rsidRPr="00D73702">
        <w:rPr>
          <w:rFonts w:ascii="Arial" w:hAnsi="Arial" w:cs="Arial"/>
          <w:sz w:val="20"/>
          <w:szCs w:val="20"/>
        </w:rPr>
        <w:t xml:space="preserve"> “I lavori in corso per la conversione in legge del </w:t>
      </w:r>
      <w:r w:rsidRPr="00D73702">
        <w:rPr>
          <w:rFonts w:ascii="Arial" w:hAnsi="Arial" w:cs="Arial"/>
          <w:b/>
          <w:bCs/>
          <w:sz w:val="20"/>
          <w:szCs w:val="20"/>
        </w:rPr>
        <w:t>Decreto Cura Italia</w:t>
      </w:r>
      <w:r w:rsidRPr="00D73702">
        <w:rPr>
          <w:rFonts w:ascii="Arial" w:hAnsi="Arial" w:cs="Arial"/>
          <w:sz w:val="20"/>
          <w:szCs w:val="20"/>
        </w:rPr>
        <w:t xml:space="preserve"> e per la predisposizione dei </w:t>
      </w:r>
      <w:r w:rsidRPr="00D73702">
        <w:rPr>
          <w:rFonts w:ascii="Arial" w:hAnsi="Arial" w:cs="Arial"/>
          <w:b/>
          <w:bCs/>
          <w:sz w:val="20"/>
          <w:szCs w:val="20"/>
        </w:rPr>
        <w:t>nuovi Decreti di ap</w:t>
      </w:r>
      <w:r w:rsidRPr="00D73702">
        <w:rPr>
          <w:rFonts w:ascii="Arial" w:hAnsi="Arial" w:cs="Arial"/>
          <w:sz w:val="20"/>
          <w:szCs w:val="20"/>
        </w:rPr>
        <w:t xml:space="preserve">rile ci impongono di ribadire al Governo la necessità di </w:t>
      </w:r>
      <w:r w:rsidRPr="00D73702">
        <w:rPr>
          <w:rFonts w:ascii="Arial" w:hAnsi="Arial" w:cs="Arial"/>
          <w:b/>
          <w:bCs/>
          <w:sz w:val="20"/>
          <w:szCs w:val="20"/>
        </w:rPr>
        <w:t xml:space="preserve">misure fiscali coraggiose </w:t>
      </w:r>
      <w:r w:rsidRPr="00D73702">
        <w:rPr>
          <w:rFonts w:ascii="Arial" w:hAnsi="Arial" w:cs="Arial"/>
          <w:sz w:val="20"/>
          <w:szCs w:val="20"/>
        </w:rPr>
        <w:t xml:space="preserve">che non solo rispondano concretamente al rapido deterioramento della situazione economico-finanziaria di famiglie, imprese e lavoratori, ma che riescano ad essere anche </w:t>
      </w:r>
      <w:r w:rsidRPr="00D73702">
        <w:rPr>
          <w:rFonts w:ascii="Arial" w:hAnsi="Arial" w:cs="Arial"/>
          <w:b/>
          <w:bCs/>
          <w:sz w:val="20"/>
          <w:szCs w:val="20"/>
        </w:rPr>
        <w:t>effettivamente conformi</w:t>
      </w:r>
      <w:r w:rsidRPr="00D73702">
        <w:rPr>
          <w:rFonts w:ascii="Arial" w:hAnsi="Arial" w:cs="Arial"/>
          <w:sz w:val="20"/>
          <w:szCs w:val="20"/>
        </w:rPr>
        <w:t xml:space="preserve"> alle finalità che si dichiara di voler perseguire”. È quanto afferma il presidente del Consiglio nazionale dei commercialisti, </w:t>
      </w:r>
      <w:r w:rsidRPr="00D73702">
        <w:rPr>
          <w:rFonts w:ascii="Arial" w:hAnsi="Arial" w:cs="Arial"/>
          <w:b/>
          <w:bCs/>
          <w:sz w:val="20"/>
          <w:szCs w:val="20"/>
        </w:rPr>
        <w:t>Massimo Miani</w:t>
      </w:r>
      <w:r w:rsidRPr="00D73702">
        <w:rPr>
          <w:rFonts w:ascii="Arial" w:hAnsi="Arial" w:cs="Arial"/>
          <w:sz w:val="20"/>
          <w:szCs w:val="20"/>
        </w:rPr>
        <w:t>.</w:t>
      </w:r>
    </w:p>
    <w:p w:rsidR="00D73702" w:rsidRPr="00D73702" w:rsidRDefault="00D73702" w:rsidP="007E6761">
      <w:pPr>
        <w:jc w:val="both"/>
        <w:rPr>
          <w:rFonts w:ascii="Arial" w:hAnsi="Arial" w:cs="Arial"/>
          <w:sz w:val="20"/>
          <w:szCs w:val="20"/>
        </w:rPr>
      </w:pPr>
    </w:p>
    <w:p w:rsidR="007E6761" w:rsidRDefault="007E6761" w:rsidP="007E6761">
      <w:p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La recente </w:t>
      </w:r>
      <w:r w:rsidRPr="00D73702">
        <w:rPr>
          <w:rFonts w:ascii="Arial" w:hAnsi="Arial" w:cs="Arial"/>
          <w:b/>
          <w:bCs/>
          <w:sz w:val="20"/>
          <w:szCs w:val="20"/>
        </w:rPr>
        <w:t xml:space="preserve">proroga al 13 aprile 2020 </w:t>
      </w:r>
      <w:r w:rsidRPr="00D73702">
        <w:rPr>
          <w:rFonts w:ascii="Arial" w:hAnsi="Arial" w:cs="Arial"/>
          <w:sz w:val="20"/>
          <w:szCs w:val="20"/>
        </w:rPr>
        <w:t xml:space="preserve">delle restrizioni all’apertura delle attività economiche e delle limitazioni agli spostamenti delle persone, </w:t>
      </w:r>
      <w:r w:rsidR="00D73702" w:rsidRPr="00D73702">
        <w:rPr>
          <w:rFonts w:ascii="Arial" w:hAnsi="Arial" w:cs="Arial"/>
          <w:sz w:val="20"/>
          <w:szCs w:val="20"/>
        </w:rPr>
        <w:t xml:space="preserve">oltre alle urgenti decisioni in materia di liquidità e tutela del lavoro, </w:t>
      </w:r>
      <w:r w:rsidRPr="00D73702">
        <w:rPr>
          <w:rFonts w:ascii="Arial" w:hAnsi="Arial" w:cs="Arial"/>
          <w:sz w:val="20"/>
          <w:szCs w:val="20"/>
        </w:rPr>
        <w:t>convince infatti sempre più</w:t>
      </w:r>
      <w:r w:rsidR="00D73702" w:rsidRPr="00D73702">
        <w:rPr>
          <w:rFonts w:ascii="Arial" w:hAnsi="Arial" w:cs="Arial"/>
          <w:sz w:val="20"/>
          <w:szCs w:val="20"/>
        </w:rPr>
        <w:t xml:space="preserve"> i commercialisti </w:t>
      </w:r>
      <w:r w:rsidRPr="00D73702">
        <w:rPr>
          <w:rFonts w:ascii="Arial" w:hAnsi="Arial" w:cs="Arial"/>
          <w:sz w:val="20"/>
          <w:szCs w:val="20"/>
        </w:rPr>
        <w:t>dell’assoluta necessità di intervenire senza indugio:</w:t>
      </w:r>
    </w:p>
    <w:p w:rsidR="00D73702" w:rsidRPr="00D73702" w:rsidRDefault="00D73702" w:rsidP="007E6761">
      <w:pPr>
        <w:jc w:val="both"/>
        <w:rPr>
          <w:rFonts w:ascii="Arial" w:hAnsi="Arial" w:cs="Arial"/>
          <w:sz w:val="20"/>
          <w:szCs w:val="20"/>
        </w:rPr>
      </w:pP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ampliando a </w:t>
      </w:r>
      <w:r w:rsidRPr="00D73702">
        <w:rPr>
          <w:rFonts w:ascii="Arial" w:hAnsi="Arial" w:cs="Arial"/>
          <w:b/>
          <w:bCs/>
          <w:sz w:val="20"/>
          <w:szCs w:val="20"/>
        </w:rPr>
        <w:t>tutte le categorie</w:t>
      </w:r>
      <w:r w:rsidRPr="00D73702">
        <w:rPr>
          <w:rFonts w:ascii="Arial" w:hAnsi="Arial" w:cs="Arial"/>
          <w:sz w:val="20"/>
          <w:szCs w:val="20"/>
        </w:rPr>
        <w:t xml:space="preserve"> la sospensione dei versamenti </w:t>
      </w:r>
      <w:r w:rsidRPr="00D73702">
        <w:rPr>
          <w:rFonts w:ascii="Arial" w:hAnsi="Arial" w:cs="Arial"/>
          <w:b/>
          <w:bCs/>
          <w:sz w:val="20"/>
          <w:szCs w:val="20"/>
        </w:rPr>
        <w:t>almeno</w:t>
      </w:r>
      <w:r w:rsidRPr="00D73702">
        <w:rPr>
          <w:rFonts w:ascii="Arial" w:hAnsi="Arial" w:cs="Arial"/>
          <w:sz w:val="20"/>
          <w:szCs w:val="20"/>
        </w:rPr>
        <w:t xml:space="preserve"> fino al prossimo mese di </w:t>
      </w:r>
      <w:r w:rsidRPr="00D73702">
        <w:rPr>
          <w:rFonts w:ascii="Arial" w:hAnsi="Arial" w:cs="Arial"/>
          <w:b/>
          <w:bCs/>
          <w:sz w:val="20"/>
          <w:szCs w:val="20"/>
        </w:rPr>
        <w:t>settembre</w:t>
      </w:r>
      <w:r w:rsidRPr="00D73702">
        <w:rPr>
          <w:rFonts w:ascii="Arial" w:hAnsi="Arial" w:cs="Arial"/>
          <w:sz w:val="20"/>
          <w:szCs w:val="20"/>
        </w:rPr>
        <w:t xml:space="preserve">, a cominciare da quelli relativi alle dichiarazioni </w:t>
      </w:r>
      <w:r w:rsidRPr="00D73702">
        <w:rPr>
          <w:rFonts w:ascii="Arial" w:hAnsi="Arial" w:cs="Arial"/>
          <w:b/>
          <w:bCs/>
          <w:sz w:val="20"/>
          <w:szCs w:val="20"/>
        </w:rPr>
        <w:t>IRPEF, IRES, IRAP e IVA</w:t>
      </w:r>
      <w:r w:rsidRPr="00D73702">
        <w:rPr>
          <w:rFonts w:ascii="Arial" w:hAnsi="Arial" w:cs="Arial"/>
          <w:sz w:val="20"/>
          <w:szCs w:val="20"/>
        </w:rPr>
        <w:t>;</w:t>
      </w: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inserendo tra i pagamenti sospesi anche di quelli derivanti da </w:t>
      </w:r>
      <w:r w:rsidRPr="00D73702">
        <w:rPr>
          <w:rFonts w:ascii="Arial" w:hAnsi="Arial" w:cs="Arial"/>
          <w:b/>
          <w:bCs/>
          <w:sz w:val="20"/>
          <w:szCs w:val="20"/>
        </w:rPr>
        <w:t>avvisi bonari</w:t>
      </w:r>
      <w:r w:rsidRPr="00D73702">
        <w:rPr>
          <w:rFonts w:ascii="Arial" w:hAnsi="Arial" w:cs="Arial"/>
          <w:sz w:val="20"/>
          <w:szCs w:val="20"/>
        </w:rPr>
        <w:t xml:space="preserve">, </w:t>
      </w:r>
      <w:r w:rsidRPr="00D73702">
        <w:rPr>
          <w:rFonts w:ascii="Arial" w:hAnsi="Arial" w:cs="Arial"/>
          <w:b/>
          <w:bCs/>
          <w:sz w:val="20"/>
          <w:szCs w:val="20"/>
        </w:rPr>
        <w:t>accertamenti con adesione</w:t>
      </w:r>
      <w:r w:rsidRPr="00D73702">
        <w:rPr>
          <w:rFonts w:ascii="Arial" w:hAnsi="Arial" w:cs="Arial"/>
          <w:sz w:val="20"/>
          <w:szCs w:val="20"/>
        </w:rPr>
        <w:t xml:space="preserve"> e altri </w:t>
      </w:r>
      <w:r w:rsidRPr="00D73702">
        <w:rPr>
          <w:rFonts w:ascii="Arial" w:hAnsi="Arial" w:cs="Arial"/>
          <w:b/>
          <w:bCs/>
          <w:sz w:val="20"/>
          <w:szCs w:val="20"/>
        </w:rPr>
        <w:t>istituti deflativi del contenzioso</w:t>
      </w:r>
      <w:r w:rsidRPr="00D73702">
        <w:rPr>
          <w:rFonts w:ascii="Arial" w:hAnsi="Arial" w:cs="Arial"/>
          <w:sz w:val="20"/>
          <w:szCs w:val="20"/>
        </w:rPr>
        <w:t xml:space="preserve"> nonché da transazioni fiscali, accordi di ristrutturazione dei debiti o piani del consumatore</w:t>
      </w:r>
      <w:r w:rsidRPr="00D73702">
        <w:rPr>
          <w:rFonts w:ascii="Arial" w:hAnsi="Arial" w:cs="Arial"/>
          <w:sz w:val="20"/>
          <w:szCs w:val="20"/>
        </w:rPr>
        <w:t>;</w:t>
      </w: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ammettendo la </w:t>
      </w:r>
      <w:r w:rsidRPr="00D73702">
        <w:rPr>
          <w:rFonts w:ascii="Arial" w:hAnsi="Arial" w:cs="Arial"/>
          <w:b/>
          <w:bCs/>
          <w:sz w:val="20"/>
          <w:szCs w:val="20"/>
        </w:rPr>
        <w:t>compensazione dei crediti 2019</w:t>
      </w:r>
      <w:r w:rsidRPr="00D73702">
        <w:rPr>
          <w:rFonts w:ascii="Arial" w:hAnsi="Arial" w:cs="Arial"/>
          <w:sz w:val="20"/>
          <w:szCs w:val="20"/>
        </w:rPr>
        <w:t xml:space="preserve"> relativi a imposte dirette e IRAP anche prima della presentazione della relativa dichiarazione e riducendo la misura degli </w:t>
      </w:r>
      <w:r w:rsidRPr="00D73702">
        <w:rPr>
          <w:rFonts w:ascii="Arial" w:hAnsi="Arial" w:cs="Arial"/>
          <w:b/>
          <w:bCs/>
          <w:sz w:val="20"/>
          <w:szCs w:val="20"/>
        </w:rPr>
        <w:t>acconti</w:t>
      </w:r>
      <w:r w:rsidRPr="00D73702">
        <w:rPr>
          <w:rFonts w:ascii="Arial" w:hAnsi="Arial" w:cs="Arial"/>
          <w:sz w:val="20"/>
          <w:szCs w:val="20"/>
        </w:rPr>
        <w:t xml:space="preserve"> relativi alle medesime imposte</w:t>
      </w:r>
      <w:r w:rsidRPr="00D73702">
        <w:rPr>
          <w:rFonts w:ascii="Arial" w:hAnsi="Arial" w:cs="Arial"/>
          <w:sz w:val="20"/>
          <w:szCs w:val="20"/>
        </w:rPr>
        <w:t>;</w:t>
      </w: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sospendendo il </w:t>
      </w:r>
      <w:r w:rsidRPr="00D73702">
        <w:rPr>
          <w:rFonts w:ascii="Arial" w:hAnsi="Arial" w:cs="Arial"/>
          <w:b/>
          <w:bCs/>
          <w:sz w:val="20"/>
          <w:szCs w:val="20"/>
        </w:rPr>
        <w:t>blocco delle compensazioni</w:t>
      </w:r>
      <w:r w:rsidRPr="00D73702">
        <w:rPr>
          <w:rFonts w:ascii="Arial" w:hAnsi="Arial" w:cs="Arial"/>
          <w:sz w:val="20"/>
          <w:szCs w:val="20"/>
        </w:rPr>
        <w:t xml:space="preserve"> in presenza di </w:t>
      </w:r>
      <w:r w:rsidRPr="00D73702">
        <w:rPr>
          <w:rFonts w:ascii="Arial" w:hAnsi="Arial" w:cs="Arial"/>
          <w:b/>
          <w:bCs/>
          <w:sz w:val="20"/>
          <w:szCs w:val="20"/>
        </w:rPr>
        <w:t>debiti scaduti di importo superiore a 1.500 euro</w:t>
      </w:r>
      <w:r w:rsidRPr="00D73702">
        <w:rPr>
          <w:rFonts w:ascii="Arial" w:hAnsi="Arial" w:cs="Arial"/>
          <w:sz w:val="20"/>
          <w:szCs w:val="20"/>
        </w:rPr>
        <w:t xml:space="preserve"> e il blocco dei </w:t>
      </w:r>
      <w:r w:rsidRPr="00D73702">
        <w:rPr>
          <w:rFonts w:ascii="Arial" w:hAnsi="Arial" w:cs="Arial"/>
          <w:b/>
          <w:bCs/>
          <w:sz w:val="20"/>
          <w:szCs w:val="20"/>
        </w:rPr>
        <w:t>pagamenti</w:t>
      </w:r>
      <w:r w:rsidRPr="00D73702">
        <w:rPr>
          <w:rFonts w:ascii="Arial" w:hAnsi="Arial" w:cs="Arial"/>
          <w:sz w:val="20"/>
          <w:szCs w:val="20"/>
        </w:rPr>
        <w:t xml:space="preserve"> da parte delle amministrazioni pubbliche in presenza di </w:t>
      </w:r>
      <w:r w:rsidRPr="00D73702">
        <w:rPr>
          <w:rFonts w:ascii="Arial" w:hAnsi="Arial" w:cs="Arial"/>
          <w:b/>
          <w:bCs/>
          <w:sz w:val="20"/>
          <w:szCs w:val="20"/>
        </w:rPr>
        <w:t>debiti scadut</w:t>
      </w:r>
      <w:r w:rsidRPr="00D73702">
        <w:rPr>
          <w:rFonts w:ascii="Arial" w:hAnsi="Arial" w:cs="Arial"/>
          <w:sz w:val="20"/>
          <w:szCs w:val="20"/>
        </w:rPr>
        <w:t xml:space="preserve">i di importo superiore a 5.000 euro, nonché i </w:t>
      </w:r>
      <w:r w:rsidRPr="00D73702">
        <w:rPr>
          <w:rFonts w:ascii="Arial" w:hAnsi="Arial" w:cs="Arial"/>
          <w:b/>
          <w:bCs/>
          <w:sz w:val="20"/>
          <w:szCs w:val="20"/>
        </w:rPr>
        <w:t>pignoramenti</w:t>
      </w:r>
      <w:r w:rsidRPr="00D73702">
        <w:rPr>
          <w:rFonts w:ascii="Arial" w:hAnsi="Arial" w:cs="Arial"/>
          <w:sz w:val="20"/>
          <w:szCs w:val="20"/>
        </w:rPr>
        <w:t xml:space="preserve"> presso terzi</w:t>
      </w:r>
      <w:r w:rsidRPr="00D73702">
        <w:rPr>
          <w:rFonts w:ascii="Arial" w:hAnsi="Arial" w:cs="Arial"/>
          <w:sz w:val="20"/>
          <w:szCs w:val="20"/>
        </w:rPr>
        <w:t>;</w:t>
      </w: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estendendo </w:t>
      </w:r>
      <w:r w:rsidRPr="00D73702">
        <w:rPr>
          <w:rFonts w:ascii="Arial" w:hAnsi="Arial" w:cs="Arial"/>
          <w:b/>
          <w:bCs/>
          <w:sz w:val="20"/>
          <w:szCs w:val="20"/>
        </w:rPr>
        <w:t>l’esonero dalla ritenuta d’acconto</w:t>
      </w:r>
      <w:r w:rsidRPr="00D73702">
        <w:rPr>
          <w:rFonts w:ascii="Arial" w:hAnsi="Arial" w:cs="Arial"/>
          <w:sz w:val="20"/>
          <w:szCs w:val="20"/>
        </w:rPr>
        <w:t xml:space="preserve"> ai compensi percepiti dai </w:t>
      </w:r>
      <w:r w:rsidRPr="00D73702">
        <w:rPr>
          <w:rFonts w:ascii="Arial" w:hAnsi="Arial" w:cs="Arial"/>
          <w:b/>
          <w:bCs/>
          <w:sz w:val="20"/>
          <w:szCs w:val="20"/>
        </w:rPr>
        <w:t xml:space="preserve">professionisti </w:t>
      </w:r>
      <w:r w:rsidRPr="00D73702">
        <w:rPr>
          <w:rFonts w:ascii="Arial" w:hAnsi="Arial" w:cs="Arial"/>
          <w:sz w:val="20"/>
          <w:szCs w:val="20"/>
        </w:rPr>
        <w:t xml:space="preserve">fino a </w:t>
      </w:r>
      <w:r w:rsidRPr="00D73702">
        <w:rPr>
          <w:rFonts w:ascii="Arial" w:hAnsi="Arial" w:cs="Arial"/>
          <w:b/>
          <w:bCs/>
          <w:sz w:val="20"/>
          <w:szCs w:val="20"/>
        </w:rPr>
        <w:t>settembre 2020</w:t>
      </w:r>
      <w:r w:rsidRPr="00D73702">
        <w:rPr>
          <w:rFonts w:ascii="Arial" w:hAnsi="Arial" w:cs="Arial"/>
          <w:sz w:val="20"/>
          <w:szCs w:val="20"/>
        </w:rPr>
        <w:t xml:space="preserve">, includendo anche quelli con </w:t>
      </w:r>
      <w:r w:rsidRPr="00D73702">
        <w:rPr>
          <w:rFonts w:ascii="Arial" w:hAnsi="Arial" w:cs="Arial"/>
          <w:b/>
          <w:bCs/>
          <w:sz w:val="20"/>
          <w:szCs w:val="20"/>
        </w:rPr>
        <w:t>dipendenti o collaboratori</w:t>
      </w:r>
      <w:r w:rsidRPr="00D73702">
        <w:rPr>
          <w:rFonts w:ascii="Arial" w:hAnsi="Arial" w:cs="Arial"/>
          <w:sz w:val="20"/>
          <w:szCs w:val="20"/>
        </w:rPr>
        <w:t>;</w:t>
      </w: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concedendo la facoltà di considerare il 2020 un periodo di </w:t>
      </w:r>
      <w:r w:rsidRPr="00D73702">
        <w:rPr>
          <w:rFonts w:ascii="Arial" w:hAnsi="Arial" w:cs="Arial"/>
          <w:b/>
          <w:bCs/>
          <w:sz w:val="20"/>
          <w:szCs w:val="20"/>
        </w:rPr>
        <w:t xml:space="preserve">non normale svolgimento dell’attività </w:t>
      </w:r>
      <w:r w:rsidRPr="00D73702">
        <w:rPr>
          <w:rFonts w:ascii="Arial" w:hAnsi="Arial" w:cs="Arial"/>
          <w:sz w:val="20"/>
          <w:szCs w:val="20"/>
        </w:rPr>
        <w:t xml:space="preserve">ai fini degli </w:t>
      </w:r>
      <w:r w:rsidRPr="00D73702">
        <w:rPr>
          <w:rFonts w:ascii="Arial" w:hAnsi="Arial" w:cs="Arial"/>
          <w:b/>
          <w:bCs/>
          <w:sz w:val="20"/>
          <w:szCs w:val="20"/>
        </w:rPr>
        <w:t>ISA</w:t>
      </w:r>
      <w:r w:rsidRPr="00D73702">
        <w:rPr>
          <w:rFonts w:ascii="Arial" w:hAnsi="Arial" w:cs="Arial"/>
          <w:sz w:val="20"/>
          <w:szCs w:val="20"/>
        </w:rPr>
        <w:t>;</w:t>
      </w: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sterilizzando la disciplina sulle </w:t>
      </w:r>
      <w:r w:rsidRPr="00D73702">
        <w:rPr>
          <w:rFonts w:ascii="Arial" w:hAnsi="Arial" w:cs="Arial"/>
          <w:b/>
          <w:bCs/>
          <w:sz w:val="20"/>
          <w:szCs w:val="20"/>
        </w:rPr>
        <w:t>società di comodo</w:t>
      </w:r>
      <w:r w:rsidRPr="00D73702">
        <w:rPr>
          <w:rFonts w:ascii="Arial" w:hAnsi="Arial" w:cs="Arial"/>
          <w:sz w:val="20"/>
          <w:szCs w:val="20"/>
        </w:rPr>
        <w:t xml:space="preserve"> e in perdita sistematica</w:t>
      </w:r>
      <w:r w:rsidRPr="00D73702">
        <w:rPr>
          <w:rFonts w:ascii="Arial" w:hAnsi="Arial" w:cs="Arial"/>
          <w:sz w:val="20"/>
          <w:szCs w:val="20"/>
        </w:rPr>
        <w:t xml:space="preserve">; </w:t>
      </w: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riproponendo la </w:t>
      </w:r>
      <w:r w:rsidRPr="00D73702">
        <w:rPr>
          <w:rFonts w:ascii="Arial" w:hAnsi="Arial" w:cs="Arial"/>
          <w:b/>
          <w:bCs/>
          <w:sz w:val="20"/>
          <w:szCs w:val="20"/>
        </w:rPr>
        <w:t>moratoria sulle sanzioni</w:t>
      </w:r>
      <w:r w:rsidRPr="00D73702">
        <w:rPr>
          <w:rFonts w:ascii="Arial" w:hAnsi="Arial" w:cs="Arial"/>
          <w:sz w:val="20"/>
          <w:szCs w:val="20"/>
        </w:rPr>
        <w:t xml:space="preserve"> relative alla </w:t>
      </w:r>
      <w:r w:rsidRPr="00D73702">
        <w:rPr>
          <w:rFonts w:ascii="Arial" w:hAnsi="Arial" w:cs="Arial"/>
          <w:b/>
          <w:bCs/>
          <w:sz w:val="20"/>
          <w:szCs w:val="20"/>
        </w:rPr>
        <w:t>tardiva trasmissione</w:t>
      </w:r>
      <w:r w:rsidRPr="00D73702">
        <w:rPr>
          <w:rFonts w:ascii="Arial" w:hAnsi="Arial" w:cs="Arial"/>
          <w:sz w:val="20"/>
          <w:szCs w:val="20"/>
        </w:rPr>
        <w:t xml:space="preserve"> delle fatture elettroniche e dei corrispettivi telematici;</w:t>
      </w: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prolungando la </w:t>
      </w:r>
      <w:r w:rsidRPr="00D73702">
        <w:rPr>
          <w:rFonts w:ascii="Arial" w:hAnsi="Arial" w:cs="Arial"/>
          <w:b/>
          <w:bCs/>
          <w:sz w:val="20"/>
          <w:szCs w:val="20"/>
        </w:rPr>
        <w:t>sospensione dei termini processuali</w:t>
      </w:r>
      <w:r w:rsidRPr="00D73702">
        <w:rPr>
          <w:rFonts w:ascii="Arial" w:hAnsi="Arial" w:cs="Arial"/>
          <w:sz w:val="20"/>
          <w:szCs w:val="20"/>
        </w:rPr>
        <w:t xml:space="preserve"> almeno a tutto il mese </w:t>
      </w:r>
      <w:r w:rsidRPr="00D73702">
        <w:rPr>
          <w:rFonts w:ascii="Arial" w:hAnsi="Arial" w:cs="Arial"/>
          <w:b/>
          <w:bCs/>
          <w:sz w:val="20"/>
          <w:szCs w:val="20"/>
        </w:rPr>
        <w:t>di giugno</w:t>
      </w:r>
      <w:r w:rsidRPr="00D73702">
        <w:rPr>
          <w:rFonts w:ascii="Arial" w:hAnsi="Arial" w:cs="Arial"/>
          <w:sz w:val="20"/>
          <w:szCs w:val="20"/>
        </w:rPr>
        <w:t>;</w:t>
      </w:r>
    </w:p>
    <w:p w:rsidR="007E6761" w:rsidRPr="00D73702" w:rsidRDefault="007E6761" w:rsidP="007E67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b/>
          <w:bCs/>
          <w:sz w:val="20"/>
          <w:szCs w:val="20"/>
        </w:rPr>
        <w:t>sospendendo</w:t>
      </w:r>
      <w:r w:rsidRPr="00D73702">
        <w:rPr>
          <w:rFonts w:ascii="Arial" w:hAnsi="Arial" w:cs="Arial"/>
          <w:sz w:val="20"/>
          <w:szCs w:val="20"/>
        </w:rPr>
        <w:t xml:space="preserve"> i termini di </w:t>
      </w:r>
      <w:r w:rsidRPr="00D73702">
        <w:rPr>
          <w:rFonts w:ascii="Arial" w:hAnsi="Arial" w:cs="Arial"/>
          <w:b/>
          <w:bCs/>
          <w:sz w:val="20"/>
          <w:szCs w:val="20"/>
        </w:rPr>
        <w:t xml:space="preserve">decadenza </w:t>
      </w:r>
      <w:r w:rsidRPr="00D73702">
        <w:rPr>
          <w:rFonts w:ascii="Arial" w:hAnsi="Arial" w:cs="Arial"/>
          <w:sz w:val="20"/>
          <w:szCs w:val="20"/>
        </w:rPr>
        <w:t>dalle agevolazioni tributarie”.</w:t>
      </w:r>
    </w:p>
    <w:p w:rsidR="007E6761" w:rsidRPr="00D73702" w:rsidRDefault="007E6761" w:rsidP="007E6761">
      <w:pPr>
        <w:jc w:val="both"/>
        <w:rPr>
          <w:rFonts w:ascii="Arial" w:hAnsi="Arial" w:cs="Arial"/>
          <w:sz w:val="20"/>
          <w:szCs w:val="20"/>
        </w:rPr>
      </w:pPr>
    </w:p>
    <w:p w:rsidR="007E6761" w:rsidRPr="00D73702" w:rsidRDefault="007E6761" w:rsidP="007E6761">
      <w:p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“Quanto alla maggiore conformità delle norme alle finalità dichiaratamente perseguite – afferma ancora Miani –, occorre immediatamente intervenire, se davvero si hanno a cuore le </w:t>
      </w:r>
      <w:r w:rsidRPr="00D73702">
        <w:rPr>
          <w:rFonts w:ascii="Arial" w:hAnsi="Arial" w:cs="Arial"/>
          <w:b/>
          <w:bCs/>
          <w:sz w:val="20"/>
          <w:szCs w:val="20"/>
        </w:rPr>
        <w:t>sorti dei contribuenti in difficoltà</w:t>
      </w:r>
      <w:r w:rsidRPr="00D73702">
        <w:rPr>
          <w:rFonts w:ascii="Arial" w:hAnsi="Arial" w:cs="Arial"/>
          <w:sz w:val="20"/>
          <w:szCs w:val="20"/>
        </w:rPr>
        <w:t xml:space="preserve">, sulla norma che proroga di </w:t>
      </w:r>
      <w:r w:rsidRPr="00D73702">
        <w:rPr>
          <w:rFonts w:ascii="Arial" w:hAnsi="Arial" w:cs="Arial"/>
          <w:b/>
          <w:bCs/>
          <w:sz w:val="20"/>
          <w:szCs w:val="20"/>
        </w:rPr>
        <w:t>due anni i termini di riscossione e accertamento in scadenza nel 2020</w:t>
      </w:r>
      <w:r w:rsidRPr="00D73702">
        <w:rPr>
          <w:rFonts w:ascii="Arial" w:hAnsi="Arial" w:cs="Arial"/>
          <w:sz w:val="20"/>
          <w:szCs w:val="20"/>
        </w:rPr>
        <w:t xml:space="preserve">. Se è vero infatti, come afferma la relazione di accompagnamento al Decreto Cura Italia e ribadito dall’Agenzia delle entrate nella circolare emanata ieri, che tale norma intende favorire i contribuenti in difficoltà per l’emergenza in atto, evitando la notifica di atti impositivi nei loro confronti altrimenti necessaria, tale obiettivo sarebbe più giusto realizzarlo </w:t>
      </w:r>
      <w:r w:rsidRPr="00D73702">
        <w:rPr>
          <w:rFonts w:ascii="Arial" w:hAnsi="Arial" w:cs="Arial"/>
          <w:b/>
          <w:bCs/>
          <w:sz w:val="20"/>
          <w:szCs w:val="20"/>
        </w:rPr>
        <w:t>prorogando non i termini di notifica in favore dell’erario</w:t>
      </w:r>
      <w:r w:rsidRPr="00D73702">
        <w:rPr>
          <w:rFonts w:ascii="Arial" w:hAnsi="Arial" w:cs="Arial"/>
          <w:sz w:val="20"/>
          <w:szCs w:val="20"/>
        </w:rPr>
        <w:t xml:space="preserve">, bensì i termini di </w:t>
      </w:r>
      <w:r w:rsidRPr="00D73702">
        <w:rPr>
          <w:rFonts w:ascii="Arial" w:hAnsi="Arial" w:cs="Arial"/>
          <w:b/>
          <w:bCs/>
          <w:sz w:val="20"/>
          <w:szCs w:val="20"/>
        </w:rPr>
        <w:t>proposizione del ricorso a favore dei contribuenti</w:t>
      </w:r>
      <w:r w:rsidRPr="00D73702">
        <w:rPr>
          <w:rFonts w:ascii="Arial" w:hAnsi="Arial" w:cs="Arial"/>
          <w:sz w:val="20"/>
          <w:szCs w:val="20"/>
        </w:rPr>
        <w:t xml:space="preserve"> o, quanto meno, </w:t>
      </w:r>
      <w:r w:rsidRPr="00D73702">
        <w:rPr>
          <w:rFonts w:ascii="Arial" w:hAnsi="Arial" w:cs="Arial"/>
          <w:b/>
          <w:bCs/>
          <w:sz w:val="20"/>
          <w:szCs w:val="20"/>
        </w:rPr>
        <w:t>limitando la sospensione</w:t>
      </w:r>
      <w:r w:rsidRPr="00D73702">
        <w:rPr>
          <w:rFonts w:ascii="Arial" w:hAnsi="Arial" w:cs="Arial"/>
          <w:sz w:val="20"/>
          <w:szCs w:val="20"/>
        </w:rPr>
        <w:t xml:space="preserve"> dei termini di prescrizione e decadenza ad un periodo corrispondente alla durata della sospensione dell’attività degli Uffici degli enti impositori</w:t>
      </w:r>
      <w:r w:rsidR="00D73702" w:rsidRPr="00D73702">
        <w:rPr>
          <w:rFonts w:ascii="Arial" w:hAnsi="Arial" w:cs="Arial"/>
          <w:sz w:val="20"/>
          <w:szCs w:val="20"/>
        </w:rPr>
        <w:t>”</w:t>
      </w:r>
      <w:r w:rsidRPr="00D73702">
        <w:rPr>
          <w:rFonts w:ascii="Arial" w:hAnsi="Arial" w:cs="Arial"/>
          <w:sz w:val="20"/>
          <w:szCs w:val="20"/>
        </w:rPr>
        <w:t>.</w:t>
      </w:r>
    </w:p>
    <w:p w:rsidR="00D73702" w:rsidRPr="00D73702" w:rsidRDefault="00D73702" w:rsidP="007E6761">
      <w:pPr>
        <w:jc w:val="both"/>
        <w:rPr>
          <w:rFonts w:ascii="Arial" w:hAnsi="Arial" w:cs="Arial"/>
          <w:sz w:val="20"/>
          <w:szCs w:val="20"/>
        </w:rPr>
      </w:pPr>
    </w:p>
    <w:p w:rsidR="00B3271C" w:rsidRPr="00D73702" w:rsidRDefault="007E6761" w:rsidP="00D73702">
      <w:pPr>
        <w:jc w:val="both"/>
        <w:rPr>
          <w:rFonts w:ascii="Arial" w:hAnsi="Arial" w:cs="Arial"/>
          <w:sz w:val="20"/>
          <w:szCs w:val="20"/>
        </w:rPr>
      </w:pPr>
      <w:r w:rsidRPr="00D73702">
        <w:rPr>
          <w:rFonts w:ascii="Arial" w:hAnsi="Arial" w:cs="Arial"/>
          <w:sz w:val="20"/>
          <w:szCs w:val="20"/>
        </w:rPr>
        <w:t xml:space="preserve">“Se il Governo non riterrà di provvedere in tal senso – conclude il presidente dei Commercialisti –, non ci si potrà più nascondere dietro alle pur dichiarate “buone intenzioni” e tutti potranno constatare, malgrado tutto, quali siano state le finalità realmente perseguite dalla norma, a dispetto di ciò di cui i contribuenti avrebbero invece effettivamente bisogno in questo periodo di </w:t>
      </w:r>
      <w:r w:rsidRPr="00D73702">
        <w:rPr>
          <w:rFonts w:ascii="Arial" w:hAnsi="Arial" w:cs="Arial"/>
          <w:b/>
          <w:bCs/>
          <w:sz w:val="20"/>
          <w:szCs w:val="20"/>
        </w:rPr>
        <w:t>assoluta emergenza</w:t>
      </w:r>
      <w:r w:rsidRPr="00D73702">
        <w:rPr>
          <w:rFonts w:ascii="Arial" w:hAnsi="Arial" w:cs="Arial"/>
          <w:sz w:val="20"/>
          <w:szCs w:val="20"/>
        </w:rPr>
        <w:t>”.</w:t>
      </w:r>
    </w:p>
    <w:sectPr w:rsidR="00B3271C" w:rsidRPr="00D73702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6D4" w:rsidRDefault="00CF76D4" w:rsidP="00627996">
      <w:r>
        <w:separator/>
      </w:r>
    </w:p>
  </w:endnote>
  <w:endnote w:type="continuationSeparator" w:id="0">
    <w:p w:rsidR="00CF76D4" w:rsidRDefault="00CF76D4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6D4" w:rsidRDefault="00CF76D4" w:rsidP="00627996">
      <w:r>
        <w:separator/>
      </w:r>
    </w:p>
  </w:footnote>
  <w:footnote w:type="continuationSeparator" w:id="0">
    <w:p w:rsidR="00CF76D4" w:rsidRDefault="00CF76D4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14735"/>
    <w:multiLevelType w:val="hybridMultilevel"/>
    <w:tmpl w:val="DF84490A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B1170"/>
    <w:rsid w:val="002B1507"/>
    <w:rsid w:val="002E31F2"/>
    <w:rsid w:val="003248FA"/>
    <w:rsid w:val="003C2FC0"/>
    <w:rsid w:val="003E7823"/>
    <w:rsid w:val="0055454C"/>
    <w:rsid w:val="00595991"/>
    <w:rsid w:val="00627996"/>
    <w:rsid w:val="00656CC5"/>
    <w:rsid w:val="00734687"/>
    <w:rsid w:val="007E6761"/>
    <w:rsid w:val="008927A3"/>
    <w:rsid w:val="00986D90"/>
    <w:rsid w:val="009D1104"/>
    <w:rsid w:val="009F27EC"/>
    <w:rsid w:val="00AC6BB0"/>
    <w:rsid w:val="00CF76D4"/>
    <w:rsid w:val="00D0285A"/>
    <w:rsid w:val="00D41E98"/>
    <w:rsid w:val="00D73702"/>
    <w:rsid w:val="00D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F745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styleId="Paragrafoelenco">
    <w:name w:val="List Paragraph"/>
    <w:basedOn w:val="Normale"/>
    <w:uiPriority w:val="34"/>
    <w:qFormat/>
    <w:rsid w:val="007E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2</cp:revision>
  <dcterms:created xsi:type="dcterms:W3CDTF">2020-04-04T12:59:00Z</dcterms:created>
  <dcterms:modified xsi:type="dcterms:W3CDTF">2020-04-04T12:59:00Z</dcterms:modified>
</cp:coreProperties>
</file>