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4BEF6" w14:textId="29DC4716" w:rsidR="00191DD3" w:rsidRPr="00A800CF" w:rsidRDefault="001F07F4" w:rsidP="00A800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0CF">
        <w:rPr>
          <w:rFonts w:ascii="Arial" w:hAnsi="Arial" w:cs="Arial"/>
          <w:sz w:val="20"/>
          <w:szCs w:val="20"/>
        </w:rPr>
        <w:t>COMUNICATO STAMPA</w:t>
      </w:r>
    </w:p>
    <w:p w14:paraId="69AE4294" w14:textId="5D3D1143" w:rsidR="001F07F4" w:rsidRPr="00A800CF" w:rsidRDefault="001F07F4" w:rsidP="00A800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2A4E08" w14:textId="6E2EC869" w:rsidR="00567BA9" w:rsidRPr="00DB54CE" w:rsidRDefault="001F07F4" w:rsidP="00E97C0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B54CE">
        <w:rPr>
          <w:rFonts w:ascii="Arial" w:eastAsia="Times New Roman" w:hAnsi="Arial" w:cs="Arial"/>
          <w:b/>
          <w:bCs/>
        </w:rPr>
        <w:t xml:space="preserve">COMMERCIALISTI: </w:t>
      </w:r>
      <w:r w:rsidR="00567BA9" w:rsidRPr="00DB54CE">
        <w:rPr>
          <w:rFonts w:ascii="Arial" w:eastAsia="Times New Roman" w:hAnsi="Arial" w:cs="Arial"/>
          <w:b/>
          <w:bCs/>
        </w:rPr>
        <w:t>F</w:t>
      </w:r>
      <w:r w:rsidRPr="00DB54CE">
        <w:rPr>
          <w:rFonts w:ascii="Arial" w:eastAsia="Times New Roman" w:hAnsi="Arial" w:cs="Arial"/>
          <w:b/>
          <w:bCs/>
        </w:rPr>
        <w:t>ISCO DIGITALE NON SIA SIN</w:t>
      </w:r>
      <w:r w:rsidR="0024297D" w:rsidRPr="00DB54CE">
        <w:rPr>
          <w:rFonts w:ascii="Arial" w:eastAsia="Times New Roman" w:hAnsi="Arial" w:cs="Arial"/>
          <w:b/>
          <w:bCs/>
        </w:rPr>
        <w:t>O</w:t>
      </w:r>
      <w:r w:rsidRPr="00DB54CE">
        <w:rPr>
          <w:rFonts w:ascii="Arial" w:eastAsia="Times New Roman" w:hAnsi="Arial" w:cs="Arial"/>
          <w:b/>
          <w:bCs/>
        </w:rPr>
        <w:t xml:space="preserve">NIMO DI COMPLICAZIONE E </w:t>
      </w:r>
      <w:r w:rsidR="00942AAE" w:rsidRPr="00DB54CE">
        <w:rPr>
          <w:rFonts w:ascii="Arial" w:eastAsia="Times New Roman" w:hAnsi="Arial" w:cs="Arial"/>
          <w:b/>
          <w:bCs/>
        </w:rPr>
        <w:t>COSTI</w:t>
      </w:r>
      <w:r w:rsidRPr="00DB54CE">
        <w:rPr>
          <w:rFonts w:ascii="Arial" w:eastAsia="Times New Roman" w:hAnsi="Arial" w:cs="Arial"/>
          <w:b/>
          <w:bCs/>
        </w:rPr>
        <w:br/>
        <w:t>La categoria audita in Senato</w:t>
      </w:r>
      <w:r w:rsidR="0024297D" w:rsidRPr="00DB54CE">
        <w:rPr>
          <w:rFonts w:ascii="Arial" w:eastAsia="Times New Roman" w:hAnsi="Arial" w:cs="Arial"/>
          <w:b/>
          <w:bCs/>
        </w:rPr>
        <w:t xml:space="preserve"> sul PNRR</w:t>
      </w:r>
      <w:r w:rsidRPr="00DB54CE">
        <w:rPr>
          <w:rFonts w:ascii="Arial" w:eastAsia="Times New Roman" w:hAnsi="Arial" w:cs="Arial"/>
          <w:b/>
          <w:bCs/>
        </w:rPr>
        <w:t>. Coppola</w:t>
      </w:r>
      <w:r w:rsidR="005A47DC">
        <w:rPr>
          <w:rFonts w:ascii="Arial" w:eastAsia="Times New Roman" w:hAnsi="Arial" w:cs="Arial"/>
          <w:b/>
          <w:bCs/>
        </w:rPr>
        <w:t>, Segretario CNDCEC</w:t>
      </w:r>
      <w:r w:rsidRPr="00DB54CE">
        <w:rPr>
          <w:rFonts w:ascii="Arial" w:eastAsia="Times New Roman" w:hAnsi="Arial" w:cs="Arial"/>
          <w:b/>
          <w:bCs/>
        </w:rPr>
        <w:t>: “</w:t>
      </w:r>
      <w:r w:rsidR="00A800CF" w:rsidRPr="00DB54CE">
        <w:rPr>
          <w:rFonts w:ascii="Arial" w:hAnsi="Arial" w:cs="Arial"/>
          <w:b/>
          <w:bCs/>
        </w:rPr>
        <w:t xml:space="preserve">La </w:t>
      </w:r>
      <w:r w:rsidR="00C022CA">
        <w:rPr>
          <w:rFonts w:ascii="Arial" w:hAnsi="Arial" w:cs="Arial"/>
          <w:b/>
          <w:bCs/>
        </w:rPr>
        <w:t xml:space="preserve">professione </w:t>
      </w:r>
      <w:r w:rsidR="00A800CF" w:rsidRPr="00DB54CE">
        <w:rPr>
          <w:rFonts w:ascii="Arial" w:hAnsi="Arial" w:cs="Arial"/>
          <w:b/>
          <w:bCs/>
        </w:rPr>
        <w:t>determinante per la crescita tecnologica dell’Amministrazione finanziaria</w:t>
      </w:r>
      <w:r w:rsidR="00DB54CE" w:rsidRPr="00DB54CE">
        <w:rPr>
          <w:rFonts w:ascii="Arial" w:hAnsi="Arial" w:cs="Arial"/>
          <w:b/>
          <w:bCs/>
        </w:rPr>
        <w:t>. Integrare le banche dati e potenziare le infrastrutture digitali della giustizia tributaria</w:t>
      </w:r>
      <w:r w:rsidR="00567BA9" w:rsidRPr="00DB54CE">
        <w:rPr>
          <w:rFonts w:ascii="Arial" w:hAnsi="Arial" w:cs="Arial"/>
          <w:b/>
          <w:bCs/>
        </w:rPr>
        <w:t>”</w:t>
      </w:r>
    </w:p>
    <w:p w14:paraId="0437327D" w14:textId="7EEC9F4F" w:rsidR="00942AAE" w:rsidRPr="00DB54CE" w:rsidRDefault="001F07F4" w:rsidP="00DB54CE">
      <w:pPr>
        <w:spacing w:after="0" w:line="240" w:lineRule="auto"/>
        <w:jc w:val="both"/>
        <w:rPr>
          <w:rFonts w:ascii="Arial" w:hAnsi="Arial" w:cs="Arial"/>
        </w:rPr>
      </w:pPr>
      <w:r w:rsidRPr="00A800CF">
        <w:rPr>
          <w:rFonts w:ascii="Arial" w:eastAsia="Times New Roman" w:hAnsi="Arial" w:cs="Arial"/>
          <w:sz w:val="20"/>
          <w:szCs w:val="20"/>
        </w:rPr>
        <w:br/>
      </w:r>
      <w:r w:rsidR="00567BA9" w:rsidRPr="00DB54CE">
        <w:rPr>
          <w:rFonts w:ascii="Arial" w:hAnsi="Arial" w:cs="Arial"/>
          <w:i/>
          <w:iCs/>
        </w:rPr>
        <w:t>Roma, 4 marzo 2021</w:t>
      </w:r>
      <w:r w:rsidR="00567BA9" w:rsidRPr="00DB54CE">
        <w:rPr>
          <w:rFonts w:ascii="Arial" w:hAnsi="Arial" w:cs="Arial"/>
        </w:rPr>
        <w:t xml:space="preserve"> – </w:t>
      </w:r>
      <w:r w:rsidR="00F862E1" w:rsidRPr="00DB54CE">
        <w:rPr>
          <w:rFonts w:ascii="Arial" w:hAnsi="Arial" w:cs="Arial"/>
        </w:rPr>
        <w:t>“</w:t>
      </w:r>
      <w:r w:rsidR="00942AAE" w:rsidRPr="00DB54CE">
        <w:rPr>
          <w:rFonts w:ascii="Arial" w:hAnsi="Arial" w:cs="Arial"/>
          <w:color w:val="000000"/>
        </w:rPr>
        <w:t>L</w:t>
      </w:r>
      <w:r w:rsidR="005C6F31" w:rsidRPr="00DB54CE">
        <w:rPr>
          <w:rFonts w:ascii="Arial" w:hAnsi="Arial" w:cs="Arial"/>
          <w:color w:val="000000"/>
        </w:rPr>
        <w:t xml:space="preserve">’Amministrazione finanziaria italiana è una delle più </w:t>
      </w:r>
      <w:r w:rsidR="005C6F31" w:rsidRPr="00DB54CE">
        <w:rPr>
          <w:rFonts w:ascii="Arial" w:hAnsi="Arial" w:cs="Arial"/>
          <w:b/>
          <w:bCs/>
          <w:color w:val="000000"/>
        </w:rPr>
        <w:t>tecnologicamente avanzate</w:t>
      </w:r>
      <w:r w:rsidR="005C6F31" w:rsidRPr="00DB54CE">
        <w:rPr>
          <w:rFonts w:ascii="Arial" w:hAnsi="Arial" w:cs="Arial"/>
          <w:color w:val="000000"/>
        </w:rPr>
        <w:t xml:space="preserve"> a livello mondiale</w:t>
      </w:r>
      <w:r w:rsidR="005C6F31" w:rsidRPr="00DB54CE">
        <w:rPr>
          <w:rFonts w:ascii="Arial" w:hAnsi="Arial" w:cs="Arial"/>
        </w:rPr>
        <w:t xml:space="preserve">. </w:t>
      </w:r>
      <w:r w:rsidR="00E97C0E">
        <w:rPr>
          <w:rFonts w:ascii="Arial" w:hAnsi="Arial" w:cs="Arial"/>
        </w:rPr>
        <w:t xml:space="preserve">È </w:t>
      </w:r>
      <w:r w:rsidR="005C6F31" w:rsidRPr="00DB54CE">
        <w:rPr>
          <w:rFonts w:ascii="Arial" w:hAnsi="Arial" w:cs="Arial"/>
        </w:rPr>
        <w:t xml:space="preserve">quindi </w:t>
      </w:r>
      <w:r w:rsidR="00A800CF" w:rsidRPr="00DB54CE">
        <w:rPr>
          <w:rFonts w:ascii="Arial" w:hAnsi="Arial" w:cs="Arial"/>
          <w:color w:val="000000"/>
        </w:rPr>
        <w:t>comprensibile</w:t>
      </w:r>
      <w:r w:rsidR="005C6F31" w:rsidRPr="00DB54CE">
        <w:rPr>
          <w:rFonts w:ascii="Arial" w:hAnsi="Arial" w:cs="Arial"/>
          <w:color w:val="000000"/>
        </w:rPr>
        <w:t xml:space="preserve"> che nel piano di digitalizzazione della PA si dia la priorità ad altri settori</w:t>
      </w:r>
      <w:r w:rsidR="005C6F31" w:rsidRPr="00DB54CE">
        <w:rPr>
          <w:rFonts w:ascii="Arial" w:hAnsi="Arial" w:cs="Arial"/>
        </w:rPr>
        <w:t xml:space="preserve">. </w:t>
      </w:r>
      <w:r w:rsidR="00942AAE" w:rsidRPr="00DB54CE">
        <w:rPr>
          <w:rFonts w:ascii="Arial" w:hAnsi="Arial" w:cs="Arial"/>
        </w:rPr>
        <w:t xml:space="preserve">La necessaria azione di </w:t>
      </w:r>
      <w:r w:rsidR="00942AAE" w:rsidRPr="00DB54CE">
        <w:rPr>
          <w:rFonts w:ascii="Arial" w:hAnsi="Arial" w:cs="Arial"/>
          <w:b/>
          <w:bCs/>
        </w:rPr>
        <w:t>contrasto all</w:t>
      </w:r>
      <w:r w:rsidR="00E97C0E">
        <w:rPr>
          <w:rFonts w:ascii="Arial" w:hAnsi="Arial" w:cs="Arial"/>
          <w:b/>
          <w:bCs/>
        </w:rPr>
        <w:t>’</w:t>
      </w:r>
      <w:r w:rsidR="00942AAE" w:rsidRPr="00DB54CE">
        <w:rPr>
          <w:rFonts w:ascii="Arial" w:hAnsi="Arial" w:cs="Arial"/>
          <w:b/>
          <w:bCs/>
        </w:rPr>
        <w:t>evasione fiscale</w:t>
      </w:r>
      <w:r w:rsidR="00942AAE" w:rsidRPr="00DB54CE">
        <w:rPr>
          <w:rFonts w:ascii="Arial" w:hAnsi="Arial" w:cs="Arial"/>
        </w:rPr>
        <w:t xml:space="preserve"> e l</w:t>
      </w:r>
      <w:r w:rsidR="00E97C0E">
        <w:rPr>
          <w:rFonts w:ascii="Arial" w:hAnsi="Arial" w:cs="Arial"/>
        </w:rPr>
        <w:t>’</w:t>
      </w:r>
      <w:r w:rsidR="00942AAE" w:rsidRPr="00DB54CE">
        <w:rPr>
          <w:rFonts w:ascii="Arial" w:hAnsi="Arial" w:cs="Arial"/>
        </w:rPr>
        <w:t xml:space="preserve">altrettanto importante azione di </w:t>
      </w:r>
      <w:r w:rsidR="00942AAE" w:rsidRPr="00DB54CE">
        <w:rPr>
          <w:rFonts w:ascii="Arial" w:hAnsi="Arial" w:cs="Arial"/>
          <w:b/>
          <w:bCs/>
        </w:rPr>
        <w:t>riduzione degli adempimenti</w:t>
      </w:r>
      <w:r w:rsidR="00942AAE" w:rsidRPr="00DB54CE">
        <w:rPr>
          <w:rFonts w:ascii="Arial" w:hAnsi="Arial" w:cs="Arial"/>
        </w:rPr>
        <w:t xml:space="preserve"> a carico dei contribuenti possono essere implementate, con maggiore efficacia, soltanto attraverso un</w:t>
      </w:r>
      <w:r w:rsidR="00E97C0E">
        <w:rPr>
          <w:rFonts w:ascii="Arial" w:hAnsi="Arial" w:cs="Arial"/>
        </w:rPr>
        <w:t>’</w:t>
      </w:r>
      <w:r w:rsidR="00942AAE" w:rsidRPr="00DB54CE">
        <w:rPr>
          <w:rFonts w:ascii="Arial" w:hAnsi="Arial" w:cs="Arial"/>
        </w:rPr>
        <w:t xml:space="preserve">adeguata </w:t>
      </w:r>
      <w:r w:rsidR="00942AAE" w:rsidRPr="00DB54CE">
        <w:rPr>
          <w:rFonts w:ascii="Arial" w:hAnsi="Arial" w:cs="Arial"/>
          <w:b/>
          <w:bCs/>
        </w:rPr>
        <w:t>circolarità e interoperatività</w:t>
      </w:r>
      <w:r w:rsidR="00942AAE" w:rsidRPr="00DB54CE">
        <w:rPr>
          <w:rFonts w:ascii="Arial" w:hAnsi="Arial" w:cs="Arial"/>
        </w:rPr>
        <w:t xml:space="preserve"> delle informazioni e dei dati contenuti nelle </w:t>
      </w:r>
      <w:r w:rsidR="00942AAE" w:rsidRPr="00DB54CE">
        <w:rPr>
          <w:rFonts w:ascii="Arial" w:hAnsi="Arial" w:cs="Arial"/>
          <w:b/>
          <w:bCs/>
        </w:rPr>
        <w:t>banche dati</w:t>
      </w:r>
      <w:r w:rsidR="00942AAE" w:rsidRPr="00DB54CE">
        <w:rPr>
          <w:rFonts w:ascii="Arial" w:hAnsi="Arial" w:cs="Arial"/>
        </w:rPr>
        <w:t xml:space="preserve"> pubbliche. Abbiamo sempre sostenuto la necessità di un rafforzamento del loro processo di integrazione, ma abbiamo anche puntualmente denunciato la tendenza a "</w:t>
      </w:r>
      <w:r w:rsidR="00942AAE" w:rsidRPr="00DB54CE">
        <w:rPr>
          <w:rFonts w:ascii="Arial" w:hAnsi="Arial" w:cs="Arial"/>
          <w:b/>
          <w:bCs/>
        </w:rPr>
        <w:t>scaricare" sui cittadini-contribuenti</w:t>
      </w:r>
      <w:r w:rsidR="00942AAE" w:rsidRPr="00DB54CE">
        <w:rPr>
          <w:rFonts w:ascii="Arial" w:hAnsi="Arial" w:cs="Arial"/>
        </w:rPr>
        <w:t xml:space="preserve">, e indirettamente sui </w:t>
      </w:r>
      <w:r w:rsidR="00942AAE" w:rsidRPr="00DB54CE">
        <w:rPr>
          <w:rFonts w:ascii="Arial" w:hAnsi="Arial" w:cs="Arial"/>
          <w:b/>
          <w:bCs/>
        </w:rPr>
        <w:t>professionisti</w:t>
      </w:r>
      <w:r w:rsidR="00942AAE" w:rsidRPr="00DB54CE">
        <w:rPr>
          <w:rFonts w:ascii="Arial" w:hAnsi="Arial" w:cs="Arial"/>
        </w:rPr>
        <w:t xml:space="preserve"> che li assistono, i costi e le complessità procedurali che tale processo, inevitabilmente, comporta. Si tratta di una tendenza che bisogna </w:t>
      </w:r>
      <w:r w:rsidR="00942AAE" w:rsidRPr="00DB54CE">
        <w:rPr>
          <w:rFonts w:ascii="Arial" w:hAnsi="Arial" w:cs="Arial"/>
          <w:b/>
          <w:bCs/>
        </w:rPr>
        <w:t>invertire</w:t>
      </w:r>
      <w:r w:rsidR="00942AAE" w:rsidRPr="00DB54CE">
        <w:rPr>
          <w:rFonts w:ascii="Arial" w:hAnsi="Arial" w:cs="Arial"/>
        </w:rPr>
        <w:t xml:space="preserve">”. Lo ha affermato il segretario del Consiglio nazionale dei commercialisti, </w:t>
      </w:r>
      <w:r w:rsidR="00942AAE" w:rsidRPr="00DB54CE">
        <w:rPr>
          <w:rFonts w:ascii="Arial" w:hAnsi="Arial" w:cs="Arial"/>
          <w:b/>
          <w:bCs/>
        </w:rPr>
        <w:t>Achille Coppola</w:t>
      </w:r>
      <w:r w:rsidR="00942AAE" w:rsidRPr="00DB54CE">
        <w:rPr>
          <w:rFonts w:ascii="Arial" w:hAnsi="Arial" w:cs="Arial"/>
        </w:rPr>
        <w:t xml:space="preserve">, durante l’audizione odierna sulla digitalizzazione del fisco all’interno del </w:t>
      </w:r>
      <w:r w:rsidR="00942AAE" w:rsidRPr="00DB54CE">
        <w:rPr>
          <w:rFonts w:ascii="Arial" w:hAnsi="Arial" w:cs="Arial"/>
          <w:b/>
          <w:bCs/>
        </w:rPr>
        <w:t xml:space="preserve">PNRR (Piano Nazionale per la Ripresa e la Resilienza) </w:t>
      </w:r>
      <w:r w:rsidR="00942AAE" w:rsidRPr="00DB54CE">
        <w:rPr>
          <w:rFonts w:ascii="Arial" w:hAnsi="Arial" w:cs="Arial"/>
        </w:rPr>
        <w:t>presso la Commissione Finanze e Tesoro del Senato.</w:t>
      </w:r>
    </w:p>
    <w:p w14:paraId="143F102A" w14:textId="77777777" w:rsidR="00A800CF" w:rsidRPr="00DB54CE" w:rsidRDefault="00A800CF" w:rsidP="00DB54CE">
      <w:pPr>
        <w:spacing w:after="0" w:line="240" w:lineRule="auto"/>
        <w:jc w:val="both"/>
        <w:rPr>
          <w:rFonts w:ascii="Arial" w:hAnsi="Arial" w:cs="Arial"/>
        </w:rPr>
      </w:pPr>
    </w:p>
    <w:p w14:paraId="15F9C436" w14:textId="5B746A26" w:rsidR="00A800CF" w:rsidRPr="00DB54CE" w:rsidRDefault="00E25B52" w:rsidP="00DB54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A800CF" w:rsidRPr="00DB54CE">
        <w:rPr>
          <w:rFonts w:ascii="Arial" w:hAnsi="Arial" w:cs="Arial"/>
        </w:rPr>
        <w:t xml:space="preserve">Nel quadro di possibili interventi per la semplificazione dei processi amministrativi attraverso la digitalizzazione – ha spiegato Coppola – occorre lavorare non solo sull’integrazione e la razionalizzazione </w:t>
      </w:r>
      <w:r w:rsidR="00A800CF" w:rsidRPr="00DB54CE">
        <w:rPr>
          <w:rFonts w:ascii="Arial" w:hAnsi="Arial" w:cs="Arial"/>
          <w:b/>
          <w:bCs/>
        </w:rPr>
        <w:t>dell’infrastruttura tecnologica esistente</w:t>
      </w:r>
      <w:r w:rsidR="00A800CF" w:rsidRPr="00DB54CE">
        <w:rPr>
          <w:rFonts w:ascii="Arial" w:hAnsi="Arial" w:cs="Arial"/>
        </w:rPr>
        <w:t xml:space="preserve">, in modo da assicurare una maggiore interoperabilità </w:t>
      </w:r>
      <w:r>
        <w:rPr>
          <w:rFonts w:ascii="Arial" w:hAnsi="Arial" w:cs="Arial"/>
        </w:rPr>
        <w:t>a</w:t>
      </w:r>
      <w:r w:rsidR="00A800CF" w:rsidRPr="00DB54CE">
        <w:rPr>
          <w:rFonts w:ascii="Arial" w:hAnsi="Arial" w:cs="Arial"/>
        </w:rPr>
        <w:t>l fine di creare efficaci relazioni automatiche nell</w:t>
      </w:r>
      <w:r>
        <w:rPr>
          <w:rFonts w:ascii="Arial" w:hAnsi="Arial" w:cs="Arial"/>
        </w:rPr>
        <w:t>’</w:t>
      </w:r>
      <w:r w:rsidR="00A800CF" w:rsidRPr="00DB54CE">
        <w:rPr>
          <w:rFonts w:ascii="Arial" w:hAnsi="Arial" w:cs="Arial"/>
        </w:rPr>
        <w:t xml:space="preserve">aggiornamento dei dati a cascata nei vari database, ma anche </w:t>
      </w:r>
      <w:r w:rsidR="00A800CF" w:rsidRPr="00DB54CE">
        <w:rPr>
          <w:rFonts w:ascii="Arial" w:hAnsi="Arial" w:cs="Arial"/>
          <w:b/>
          <w:bCs/>
        </w:rPr>
        <w:t>integrare le banche dati</w:t>
      </w:r>
      <w:r w:rsidR="00A800CF" w:rsidRPr="00DB54CE">
        <w:rPr>
          <w:rFonts w:ascii="Arial" w:hAnsi="Arial" w:cs="Arial"/>
        </w:rPr>
        <w:t xml:space="preserve"> del sistema pubblico nel suo complesso al fine di ottenere un efficace interscambio di azioni tra sistemi differenti</w:t>
      </w:r>
      <w:r>
        <w:rPr>
          <w:rFonts w:ascii="Arial" w:hAnsi="Arial" w:cs="Arial"/>
        </w:rPr>
        <w:t>”</w:t>
      </w:r>
      <w:r w:rsidR="00A800CF" w:rsidRPr="00DB54CE">
        <w:rPr>
          <w:rFonts w:ascii="Arial" w:hAnsi="Arial" w:cs="Arial"/>
        </w:rPr>
        <w:t xml:space="preserve">. Nella gestione delle banche dati dell’Anagrafe tributaria, per esempio, “un elemento di criticità è costituito dal fatto che gli applicativi necessari per effettuare i diversi adempimenti fiscali realizzati da </w:t>
      </w:r>
      <w:r w:rsidR="00A800CF" w:rsidRPr="00DB54CE">
        <w:rPr>
          <w:rFonts w:ascii="Arial" w:hAnsi="Arial" w:cs="Arial"/>
          <w:b/>
          <w:bCs/>
        </w:rPr>
        <w:t xml:space="preserve">Sogei </w:t>
      </w:r>
      <w:r w:rsidR="00A800CF" w:rsidRPr="00DB54CE">
        <w:rPr>
          <w:rFonts w:ascii="Arial" w:hAnsi="Arial" w:cs="Arial"/>
        </w:rPr>
        <w:t xml:space="preserve">sono spesso </w:t>
      </w:r>
      <w:r w:rsidR="00A800CF" w:rsidRPr="00DB54CE">
        <w:rPr>
          <w:rFonts w:ascii="Arial" w:hAnsi="Arial" w:cs="Arial"/>
          <w:b/>
          <w:bCs/>
        </w:rPr>
        <w:t>inutilizzabili</w:t>
      </w:r>
      <w:r w:rsidR="00A800CF" w:rsidRPr="00DB54CE">
        <w:rPr>
          <w:rFonts w:ascii="Arial" w:hAnsi="Arial" w:cs="Arial"/>
        </w:rPr>
        <w:t xml:space="preserve"> dagli intermediari in quanto non integrabili con i programmi gestionali delle imprese o dei professionisti, né con gli archivi in uso. “Sarebbe auspicabile – ha ipotizzato Coppola – che venissero predisposti programmi compatibili e standardizzati secondo un </w:t>
      </w:r>
      <w:r w:rsidR="00A800CF" w:rsidRPr="00DB54CE">
        <w:rPr>
          <w:rFonts w:ascii="Arial" w:hAnsi="Arial" w:cs="Arial"/>
          <w:b/>
          <w:bCs/>
        </w:rPr>
        <w:t>accordo quadro con gli Ordini professionali</w:t>
      </w:r>
      <w:r w:rsidR="00A800CF" w:rsidRPr="00DB54CE">
        <w:rPr>
          <w:rFonts w:ascii="Arial" w:hAnsi="Arial" w:cs="Arial"/>
        </w:rPr>
        <w:t xml:space="preserve"> interessati, d</w:t>
      </w:r>
      <w:r>
        <w:rPr>
          <w:rFonts w:ascii="Arial" w:hAnsi="Arial" w:cs="Arial"/>
        </w:rPr>
        <w:t>’</w:t>
      </w:r>
      <w:r w:rsidR="00A800CF" w:rsidRPr="00DB54CE">
        <w:rPr>
          <w:rFonts w:ascii="Arial" w:hAnsi="Arial" w:cs="Arial"/>
        </w:rPr>
        <w:t xml:space="preserve">intesa con le case di produzione di software”. </w:t>
      </w:r>
    </w:p>
    <w:p w14:paraId="29E91247" w14:textId="77777777" w:rsidR="00A800CF" w:rsidRPr="00DB54CE" w:rsidRDefault="00A800CF" w:rsidP="00DB54CE">
      <w:pPr>
        <w:spacing w:after="0" w:line="240" w:lineRule="auto"/>
        <w:jc w:val="both"/>
        <w:rPr>
          <w:rFonts w:ascii="Arial" w:hAnsi="Arial" w:cs="Arial"/>
        </w:rPr>
      </w:pPr>
    </w:p>
    <w:p w14:paraId="6D6EEC48" w14:textId="7575932A" w:rsidR="00A800CF" w:rsidRPr="00DB54CE" w:rsidRDefault="00A800CF" w:rsidP="00DB54CE">
      <w:pPr>
        <w:spacing w:after="0" w:line="240" w:lineRule="auto"/>
        <w:jc w:val="both"/>
        <w:rPr>
          <w:rFonts w:ascii="Arial" w:hAnsi="Arial" w:cs="Arial"/>
        </w:rPr>
      </w:pPr>
      <w:r w:rsidRPr="00DB54CE">
        <w:rPr>
          <w:rFonts w:ascii="Arial" w:hAnsi="Arial" w:cs="Arial"/>
        </w:rPr>
        <w:t xml:space="preserve">Allo stesso modo, è necessario che la prevista standardizzazione degli accessi ai vari servizi telematici della PA attraverso gli strumenti di identità digitale (SPID, Carta d’Identità Elettronica e Carta Nazionale dei Servizi) “sia in grado di </w:t>
      </w:r>
      <w:r w:rsidRPr="00DB54CE">
        <w:rPr>
          <w:rFonts w:ascii="Arial" w:hAnsi="Arial" w:cs="Arial"/>
          <w:b/>
          <w:bCs/>
        </w:rPr>
        <w:t>riconoscere il ruolo di iscritto all’Albo</w:t>
      </w:r>
      <w:r w:rsidRPr="00DB54CE">
        <w:rPr>
          <w:rFonts w:ascii="Arial" w:hAnsi="Arial" w:cs="Arial"/>
        </w:rPr>
        <w:t xml:space="preserve"> dei dottori commercialisti e degli esperti contabili, necessario per accedere ad una serie di servizi in qualità di professionista incaricato per conto dei propri clienti”. </w:t>
      </w:r>
    </w:p>
    <w:p w14:paraId="536B72BA" w14:textId="77777777" w:rsidR="00A800CF" w:rsidRPr="00DB54CE" w:rsidRDefault="00A800CF" w:rsidP="00DB54CE">
      <w:pPr>
        <w:spacing w:after="0" w:line="240" w:lineRule="auto"/>
        <w:jc w:val="both"/>
        <w:rPr>
          <w:rFonts w:ascii="Arial" w:hAnsi="Arial" w:cs="Arial"/>
        </w:rPr>
      </w:pPr>
    </w:p>
    <w:p w14:paraId="4D5BBADD" w14:textId="031AF319" w:rsidR="000914D7" w:rsidRPr="00DB54CE" w:rsidRDefault="00A800CF" w:rsidP="00DB54CE">
      <w:pPr>
        <w:spacing w:after="0" w:line="240" w:lineRule="auto"/>
        <w:mirrorIndents/>
        <w:jc w:val="both"/>
        <w:rPr>
          <w:rFonts w:ascii="Arial" w:eastAsia="Times New Roman" w:hAnsi="Arial" w:cs="Arial"/>
          <w:lang w:eastAsia="it-IT"/>
        </w:rPr>
      </w:pPr>
      <w:r w:rsidRPr="00DB54CE">
        <w:rPr>
          <w:rFonts w:ascii="Arial" w:hAnsi="Arial" w:cs="Arial"/>
        </w:rPr>
        <w:t>Nel corso dell’audizione</w:t>
      </w:r>
      <w:r w:rsidR="00E25B52">
        <w:rPr>
          <w:rFonts w:ascii="Arial" w:hAnsi="Arial" w:cs="Arial"/>
        </w:rPr>
        <w:t>,</w:t>
      </w:r>
      <w:r w:rsidRPr="00DB54CE">
        <w:rPr>
          <w:rFonts w:ascii="Arial" w:hAnsi="Arial" w:cs="Arial"/>
        </w:rPr>
        <w:t xml:space="preserve"> </w:t>
      </w:r>
      <w:r w:rsidR="000914D7" w:rsidRPr="00DB54CE">
        <w:rPr>
          <w:rFonts w:ascii="Arial" w:eastAsia="Times New Roman" w:hAnsi="Arial" w:cs="Arial"/>
          <w:lang w:eastAsia="it-IT"/>
        </w:rPr>
        <w:t xml:space="preserve">Coppola ha sottolineato “il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rilevante contributo</w:t>
      </w:r>
      <w:r w:rsidR="000914D7" w:rsidRPr="00DB54CE">
        <w:rPr>
          <w:rFonts w:ascii="Arial" w:eastAsia="Times New Roman" w:hAnsi="Arial" w:cs="Arial"/>
          <w:lang w:eastAsia="it-IT"/>
        </w:rPr>
        <w:t xml:space="preserve"> che i commercialisti hanno dato alla digitalizzazione del sistema fiscale”. Uno sviluppo che “può essere misurato, in modo oggettivo, dal numero di documenti trasmessi telematicamente dai contribuenti e dai loro intermediari tramite i canali telematici Entratel e Fisconline messi a disposizione dall’Agenzia delle entrate. </w:t>
      </w:r>
      <w:r w:rsidRPr="00DB54CE">
        <w:rPr>
          <w:rFonts w:ascii="Arial" w:eastAsia="Times New Roman" w:hAnsi="Arial" w:cs="Arial"/>
          <w:lang w:eastAsia="it-IT"/>
        </w:rPr>
        <w:t>Nel</w:t>
      </w:r>
      <w:r w:rsidR="000914D7" w:rsidRPr="00DB54CE">
        <w:rPr>
          <w:rFonts w:ascii="Arial" w:eastAsia="Times New Roman" w:hAnsi="Arial" w:cs="Arial"/>
          <w:lang w:eastAsia="it-IT"/>
        </w:rPr>
        <w:t xml:space="preserve">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2000</w:t>
      </w:r>
      <w:r w:rsidR="000914D7" w:rsidRPr="00DB54CE">
        <w:rPr>
          <w:rFonts w:ascii="Arial" w:eastAsia="Times New Roman" w:hAnsi="Arial" w:cs="Arial"/>
          <w:lang w:eastAsia="it-IT"/>
        </w:rPr>
        <w:t xml:space="preserve"> sono stati trasmessi all’Agenzia delle entrate, tramite i canali telematici Entratel e Fisconline,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 xml:space="preserve">45,6 milioni </w:t>
      </w:r>
      <w:r w:rsidR="00DB54CE" w:rsidRPr="00DB54CE">
        <w:rPr>
          <w:rFonts w:ascii="Arial" w:eastAsia="Times New Roman" w:hAnsi="Arial" w:cs="Arial"/>
          <w:b/>
          <w:bCs/>
          <w:lang w:eastAsia="it-IT"/>
        </w:rPr>
        <w:t xml:space="preserve">di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documenti</w:t>
      </w:r>
      <w:r w:rsidR="000914D7" w:rsidRPr="00DB54CE">
        <w:rPr>
          <w:rFonts w:ascii="Arial" w:eastAsia="Times New Roman" w:hAnsi="Arial" w:cs="Arial"/>
          <w:lang w:eastAsia="it-IT"/>
        </w:rPr>
        <w:t xml:space="preserve"> (tra dichiarazioni, modelli di versamento, modelli di registrazione dei contratti di locazione e altre comunicazioni). Nel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2020</w:t>
      </w:r>
      <w:r w:rsidR="000914D7" w:rsidRPr="00DB54CE">
        <w:rPr>
          <w:rFonts w:ascii="Arial" w:eastAsia="Times New Roman" w:hAnsi="Arial" w:cs="Arial"/>
          <w:lang w:eastAsia="it-IT"/>
        </w:rPr>
        <w:t xml:space="preserve">, il numero di documenti trasmessi tramite </w:t>
      </w:r>
      <w:r w:rsidR="00E25B52">
        <w:rPr>
          <w:rFonts w:ascii="Arial" w:eastAsia="Times New Roman" w:hAnsi="Arial" w:cs="Arial"/>
          <w:lang w:eastAsia="it-IT"/>
        </w:rPr>
        <w:t>gli stessi</w:t>
      </w:r>
      <w:r w:rsidR="000914D7" w:rsidRPr="00DB54CE">
        <w:rPr>
          <w:rFonts w:ascii="Arial" w:eastAsia="Times New Roman" w:hAnsi="Arial" w:cs="Arial"/>
          <w:lang w:eastAsia="it-IT"/>
        </w:rPr>
        <w:t xml:space="preserve"> canali telematici è risultato pari a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196,7 milioni</w:t>
      </w:r>
      <w:r w:rsidR="00DB54CE" w:rsidRPr="00DB54CE">
        <w:rPr>
          <w:rFonts w:ascii="Arial" w:eastAsia="Times New Roman" w:hAnsi="Arial" w:cs="Arial"/>
          <w:lang w:eastAsia="it-IT"/>
        </w:rPr>
        <w:t xml:space="preserve">, </w:t>
      </w:r>
      <w:r w:rsidR="000914D7" w:rsidRPr="00DB54CE">
        <w:rPr>
          <w:rFonts w:ascii="Arial" w:eastAsia="Times New Roman" w:hAnsi="Arial" w:cs="Arial"/>
          <w:lang w:eastAsia="it-IT"/>
        </w:rPr>
        <w:t xml:space="preserve">con un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vertiginoso incremento</w:t>
      </w:r>
      <w:r w:rsidR="000914D7" w:rsidRPr="00DB54CE">
        <w:rPr>
          <w:rFonts w:ascii="Arial" w:eastAsia="Times New Roman" w:hAnsi="Arial" w:cs="Arial"/>
          <w:lang w:eastAsia="it-IT"/>
        </w:rPr>
        <w:t xml:space="preserve">, nel periodo osservato, del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331,13% (+151.048.468).</w:t>
      </w:r>
      <w:r w:rsidR="000914D7" w:rsidRPr="00DB54CE">
        <w:rPr>
          <w:rFonts w:ascii="Arial" w:eastAsia="Times New Roman" w:hAnsi="Arial" w:cs="Arial"/>
          <w:lang w:eastAsia="it-IT"/>
        </w:rPr>
        <w:t xml:space="preserve"> Tali dati, peraltro, non includono gli altri documenti (fatture, comunicazioni e altri modelli) inviati all’Agenzia delle </w:t>
      </w:r>
      <w:r w:rsidR="00E25B52">
        <w:rPr>
          <w:rFonts w:ascii="Arial" w:eastAsia="Times New Roman" w:hAnsi="Arial" w:cs="Arial"/>
          <w:lang w:eastAsia="it-IT"/>
        </w:rPr>
        <w:t>E</w:t>
      </w:r>
      <w:r w:rsidR="000914D7" w:rsidRPr="00DB54CE">
        <w:rPr>
          <w:rFonts w:ascii="Arial" w:eastAsia="Times New Roman" w:hAnsi="Arial" w:cs="Arial"/>
          <w:lang w:eastAsia="it-IT"/>
        </w:rPr>
        <w:t xml:space="preserve">ntrate tramite il portale “Fatture e Corrispettivi” (Sistema di Interscambio). Nel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2019</w:t>
      </w:r>
      <w:r w:rsidR="000914D7" w:rsidRPr="00DB54CE">
        <w:rPr>
          <w:rFonts w:ascii="Arial" w:eastAsia="Times New Roman" w:hAnsi="Arial" w:cs="Arial"/>
          <w:lang w:eastAsia="it-IT"/>
        </w:rPr>
        <w:t>, primo anno di entrata in vigore dell</w:t>
      </w:r>
      <w:r w:rsidR="00E25B52">
        <w:rPr>
          <w:rFonts w:ascii="Arial" w:eastAsia="Times New Roman" w:hAnsi="Arial" w:cs="Arial"/>
          <w:lang w:eastAsia="it-IT"/>
        </w:rPr>
        <w:t>’</w:t>
      </w:r>
      <w:r w:rsidR="000914D7" w:rsidRPr="00DB54CE">
        <w:rPr>
          <w:rFonts w:ascii="Arial" w:eastAsia="Times New Roman" w:hAnsi="Arial" w:cs="Arial"/>
          <w:lang w:eastAsia="it-IT"/>
        </w:rPr>
        <w:t xml:space="preserve">obbligo di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fatturazione elettronica</w:t>
      </w:r>
      <w:r w:rsidR="000914D7" w:rsidRPr="00DB54CE">
        <w:rPr>
          <w:rFonts w:ascii="Arial" w:eastAsia="Times New Roman" w:hAnsi="Arial" w:cs="Arial"/>
          <w:lang w:eastAsia="it-IT"/>
        </w:rPr>
        <w:t xml:space="preserve"> anche nelle operazioni tra privati, sono state emess</w:t>
      </w:r>
      <w:r w:rsidR="00E25B52">
        <w:rPr>
          <w:rFonts w:ascii="Arial" w:eastAsia="Times New Roman" w:hAnsi="Arial" w:cs="Arial"/>
          <w:lang w:eastAsia="it-IT"/>
        </w:rPr>
        <w:t>i</w:t>
      </w:r>
      <w:r w:rsidR="000914D7" w:rsidRPr="00DB54CE">
        <w:rPr>
          <w:rFonts w:ascii="Arial" w:eastAsia="Times New Roman" w:hAnsi="Arial" w:cs="Arial"/>
          <w:lang w:eastAsia="it-IT"/>
        </w:rPr>
        <w:t xml:space="preserve"> oltre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due miliardi di fatture elettroniche</w:t>
      </w:r>
      <w:r w:rsidR="00DB54CE" w:rsidRPr="00DB54CE">
        <w:rPr>
          <w:rFonts w:ascii="Arial" w:eastAsia="Times New Roman" w:hAnsi="Arial" w:cs="Arial"/>
          <w:lang w:eastAsia="it-IT"/>
        </w:rPr>
        <w:t xml:space="preserve">, </w:t>
      </w:r>
      <w:r w:rsidR="000914D7" w:rsidRPr="00DB54CE">
        <w:rPr>
          <w:rFonts w:ascii="Arial" w:eastAsia="Times New Roman" w:hAnsi="Arial" w:cs="Arial"/>
          <w:lang w:eastAsia="it-IT"/>
        </w:rPr>
        <w:t xml:space="preserve">come emerge dai dati ufficiali presentati in occasione del </w:t>
      </w:r>
      <w:r w:rsidR="000914D7" w:rsidRPr="00DB54CE">
        <w:rPr>
          <w:rFonts w:ascii="Arial" w:eastAsia="Times New Roman" w:hAnsi="Arial" w:cs="Arial"/>
          <w:lang w:eastAsia="it-IT"/>
        </w:rPr>
        <w:lastRenderedPageBreak/>
        <w:t xml:space="preserve">Forum italiano sulla fatturazione elettronica nel mese di gennaio 2020, a cui occorre aggiungere circa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12 milioni</w:t>
      </w:r>
      <w:r w:rsidR="000914D7" w:rsidRPr="00DB54CE">
        <w:rPr>
          <w:rFonts w:ascii="Arial" w:eastAsia="Times New Roman" w:hAnsi="Arial" w:cs="Arial"/>
          <w:lang w:eastAsia="it-IT"/>
        </w:rPr>
        <w:t xml:space="preserve"> di comunicazioni relative alle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liquidazioni periodiche IVA</w:t>
      </w:r>
      <w:r w:rsidR="000914D7" w:rsidRPr="00DB54CE">
        <w:rPr>
          <w:rFonts w:ascii="Arial" w:eastAsia="Times New Roman" w:hAnsi="Arial" w:cs="Arial"/>
          <w:lang w:eastAsia="it-IT"/>
        </w:rPr>
        <w:t xml:space="preserve">, nonché gli invii dei dati relativi ai corrispettivi telematici, non ancora diffusi”. Numeri dai quali, ha affermato Coppola, “si può ben comprendere come sia giusto parlare di un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 xml:space="preserve">vero e proprio </w:t>
      </w:r>
      <w:r w:rsidR="000914D7" w:rsidRPr="00DB54CE">
        <w:rPr>
          <w:rFonts w:ascii="Arial" w:eastAsia="Times New Roman" w:hAnsi="Arial" w:cs="Arial"/>
          <w:b/>
          <w:bCs/>
          <w:i/>
          <w:lang w:eastAsia="it-IT"/>
        </w:rPr>
        <w:t>boom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,</w:t>
      </w:r>
      <w:r w:rsidR="000914D7" w:rsidRPr="00DB54CE">
        <w:rPr>
          <w:rFonts w:ascii="Arial" w:eastAsia="Times New Roman" w:hAnsi="Arial" w:cs="Arial"/>
          <w:lang w:eastAsia="it-IT"/>
        </w:rPr>
        <w:t xml:space="preserve"> negli ultimi anni, degli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invii telematici a carico dei contribuenti e dei loro intermediari</w:t>
      </w:r>
      <w:r w:rsidR="000914D7" w:rsidRPr="00DB54CE">
        <w:rPr>
          <w:rFonts w:ascii="Arial" w:eastAsia="Times New Roman" w:hAnsi="Arial" w:cs="Arial"/>
          <w:lang w:eastAsia="it-IT"/>
        </w:rPr>
        <w:t xml:space="preserve">, che oltre agli innegabili benefici in termini di “lavorabilità” dei dati in tal modo trasmessi, sta generando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problematiche e criticità</w:t>
      </w:r>
      <w:r w:rsidR="000914D7" w:rsidRPr="00DB54CE">
        <w:rPr>
          <w:rFonts w:ascii="Arial" w:eastAsia="Times New Roman" w:hAnsi="Arial" w:cs="Arial"/>
          <w:lang w:eastAsia="it-IT"/>
        </w:rPr>
        <w:t xml:space="preserve"> in capo ai contribuenti non sempre facili da gestire e superare. In tale contesto, i Commercialisti hanno certamente rivestito un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ruolo di primo piano</w:t>
      </w:r>
      <w:r w:rsidR="000914D7" w:rsidRPr="00DB54CE">
        <w:rPr>
          <w:rFonts w:ascii="Arial" w:eastAsia="Times New Roman" w:hAnsi="Arial" w:cs="Arial"/>
          <w:lang w:eastAsia="it-IT"/>
        </w:rPr>
        <w:t xml:space="preserve">, se si considera che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circa il 54%</w:t>
      </w:r>
      <w:r w:rsidR="000914D7" w:rsidRPr="00DB54CE">
        <w:rPr>
          <w:rFonts w:ascii="Arial" w:eastAsia="Times New Roman" w:hAnsi="Arial" w:cs="Arial"/>
          <w:lang w:eastAsia="it-IT"/>
        </w:rPr>
        <w:t xml:space="preserve"> dei 196,7 milioni di documenti transitati nel 2020 sui canali telematici Entratel e Fisconline,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ossia circa 100 milioni</w:t>
      </w:r>
      <w:r w:rsidR="000914D7" w:rsidRPr="00DB54CE">
        <w:rPr>
          <w:rFonts w:ascii="Arial" w:eastAsia="Times New Roman" w:hAnsi="Arial" w:cs="Arial"/>
          <w:lang w:eastAsia="it-IT"/>
        </w:rPr>
        <w:t xml:space="preserve">, sono stati </w:t>
      </w:r>
      <w:r w:rsidR="000914D7" w:rsidRPr="00DB54CE">
        <w:rPr>
          <w:rFonts w:ascii="Arial" w:eastAsia="Times New Roman" w:hAnsi="Arial" w:cs="Arial"/>
          <w:b/>
          <w:bCs/>
          <w:lang w:eastAsia="it-IT"/>
        </w:rPr>
        <w:t>trasmessi da Commercialisti</w:t>
      </w:r>
      <w:r w:rsidR="000914D7" w:rsidRPr="00DB54CE">
        <w:rPr>
          <w:rFonts w:ascii="Arial" w:eastAsia="Times New Roman" w:hAnsi="Arial" w:cs="Arial"/>
          <w:lang w:eastAsia="it-IT"/>
        </w:rPr>
        <w:t xml:space="preserve"> ovvero da associazioni o società di servizi contabili costituite dagli stessi”.</w:t>
      </w:r>
    </w:p>
    <w:p w14:paraId="01966582" w14:textId="77777777" w:rsidR="00A800CF" w:rsidRPr="00DB54CE" w:rsidRDefault="00A800CF" w:rsidP="00DB54CE">
      <w:pPr>
        <w:spacing w:after="0" w:line="240" w:lineRule="auto"/>
        <w:mirrorIndents/>
        <w:jc w:val="both"/>
        <w:rPr>
          <w:rFonts w:ascii="Arial" w:eastAsia="Times New Roman" w:hAnsi="Arial" w:cs="Arial"/>
          <w:lang w:eastAsia="it-IT"/>
        </w:rPr>
      </w:pPr>
    </w:p>
    <w:p w14:paraId="4E9EB8CE" w14:textId="535DF1BD" w:rsidR="000914D7" w:rsidRPr="00DB54CE" w:rsidRDefault="00DB54CE" w:rsidP="00DB54CE">
      <w:pPr>
        <w:spacing w:after="0" w:line="240" w:lineRule="auto"/>
        <w:mirrorIndents/>
        <w:jc w:val="both"/>
        <w:rPr>
          <w:rFonts w:ascii="Arial" w:hAnsi="Arial" w:cs="Arial"/>
        </w:rPr>
      </w:pPr>
      <w:r w:rsidRPr="00DB54CE">
        <w:rPr>
          <w:rFonts w:ascii="Arial" w:eastAsia="Times New Roman" w:hAnsi="Arial" w:cs="Arial"/>
          <w:lang w:eastAsia="it-IT"/>
        </w:rPr>
        <w:t>L’</w:t>
      </w:r>
      <w:r w:rsidR="00A800CF" w:rsidRPr="00DB54CE">
        <w:rPr>
          <w:rFonts w:ascii="Arial" w:eastAsia="Times New Roman" w:hAnsi="Arial" w:cs="Arial"/>
          <w:lang w:eastAsia="it-IT"/>
        </w:rPr>
        <w:t>incremento degli adempimenti telematici</w:t>
      </w:r>
      <w:r w:rsidRPr="00DB54CE">
        <w:rPr>
          <w:rFonts w:ascii="Arial" w:eastAsia="Times New Roman" w:hAnsi="Arial" w:cs="Arial"/>
          <w:lang w:eastAsia="it-IT"/>
        </w:rPr>
        <w:t xml:space="preserve"> </w:t>
      </w:r>
      <w:r w:rsidR="00A800CF" w:rsidRPr="00DB54CE">
        <w:rPr>
          <w:rFonts w:ascii="Arial" w:hAnsi="Arial" w:cs="Arial"/>
        </w:rPr>
        <w:t>ha comportato, secondo Coppola</w:t>
      </w:r>
      <w:r w:rsidRPr="00DB54CE">
        <w:rPr>
          <w:rFonts w:ascii="Arial" w:hAnsi="Arial" w:cs="Arial"/>
        </w:rPr>
        <w:t>,</w:t>
      </w:r>
      <w:r w:rsidR="00A800CF" w:rsidRPr="00DB54CE">
        <w:rPr>
          <w:rFonts w:ascii="Arial" w:hAnsi="Arial" w:cs="Arial"/>
        </w:rPr>
        <w:t xml:space="preserve"> </w:t>
      </w:r>
      <w:r w:rsidR="00A800CF" w:rsidRPr="00DB54CE">
        <w:rPr>
          <w:rFonts w:ascii="Arial" w:eastAsia="Times New Roman" w:hAnsi="Arial" w:cs="Arial"/>
          <w:lang w:eastAsia="it-IT"/>
        </w:rPr>
        <w:t>una</w:t>
      </w:r>
      <w:r w:rsidR="000914D7" w:rsidRPr="00DB54CE">
        <w:rPr>
          <w:rFonts w:ascii="Arial" w:eastAsia="Times New Roman" w:hAnsi="Arial" w:cs="Arial"/>
          <w:lang w:eastAsia="it-IT"/>
        </w:rPr>
        <w:t xml:space="preserve"> </w:t>
      </w:r>
      <w:r w:rsidR="00A800CF" w:rsidRPr="00DB54CE">
        <w:rPr>
          <w:rFonts w:ascii="Arial" w:eastAsia="Times New Roman" w:hAnsi="Arial" w:cs="Arial"/>
          <w:lang w:eastAsia="it-IT"/>
        </w:rPr>
        <w:t>“</w:t>
      </w:r>
      <w:r w:rsidR="000914D7" w:rsidRPr="00C022CA">
        <w:rPr>
          <w:rFonts w:ascii="Arial" w:hAnsi="Arial" w:cs="Arial"/>
          <w:b/>
          <w:bCs/>
        </w:rPr>
        <w:t>forte riduzione dei costi di gestione</w:t>
      </w:r>
      <w:r w:rsidR="000914D7" w:rsidRPr="00DB54CE">
        <w:rPr>
          <w:rFonts w:ascii="Arial" w:hAnsi="Arial" w:cs="Arial"/>
        </w:rPr>
        <w:t xml:space="preserve"> per l’Amministrazione finanziaria</w:t>
      </w:r>
      <w:r w:rsidR="00A800CF" w:rsidRPr="00DB54CE">
        <w:rPr>
          <w:rFonts w:ascii="Arial" w:hAnsi="Arial" w:cs="Arial"/>
        </w:rPr>
        <w:t>.</w:t>
      </w:r>
      <w:r w:rsidR="000914D7" w:rsidRPr="00DB54CE">
        <w:rPr>
          <w:rFonts w:ascii="Arial" w:eastAsia="Times New Roman" w:hAnsi="Arial" w:cs="Arial"/>
          <w:lang w:eastAsia="it-IT"/>
        </w:rPr>
        <w:t xml:space="preserve"> </w:t>
      </w:r>
      <w:r w:rsidR="000914D7" w:rsidRPr="00DB54CE">
        <w:rPr>
          <w:rFonts w:ascii="Arial" w:hAnsi="Arial" w:cs="Arial"/>
        </w:rPr>
        <w:t xml:space="preserve">Secondo il </w:t>
      </w:r>
      <w:r w:rsidR="000914D7" w:rsidRPr="00DB54CE">
        <w:rPr>
          <w:rFonts w:ascii="Arial" w:hAnsi="Arial" w:cs="Arial"/>
          <w:i/>
        </w:rPr>
        <w:t>Tax Administration 2015</w:t>
      </w:r>
      <w:r w:rsidR="000914D7" w:rsidRPr="00DB54CE">
        <w:rPr>
          <w:rFonts w:ascii="Arial" w:hAnsi="Arial" w:cs="Arial"/>
        </w:rPr>
        <w:t xml:space="preserve"> dell’OCSE, la spesa aggregata sostenuta dal sistema pubblico italiano per le funzioni fiscali (</w:t>
      </w:r>
      <w:r w:rsidR="000914D7" w:rsidRPr="00DB54CE">
        <w:rPr>
          <w:rFonts w:ascii="Arial" w:hAnsi="Arial" w:cs="Arial"/>
          <w:i/>
        </w:rPr>
        <w:t>Aggregate expenditure for tax functions and related overheads</w:t>
      </w:r>
      <w:r w:rsidR="000914D7" w:rsidRPr="00DB54CE">
        <w:rPr>
          <w:rFonts w:ascii="Arial" w:hAnsi="Arial" w:cs="Arial"/>
        </w:rPr>
        <w:t xml:space="preserve">) si è </w:t>
      </w:r>
      <w:r w:rsidR="000914D7" w:rsidRPr="00C022CA">
        <w:rPr>
          <w:rFonts w:ascii="Arial" w:hAnsi="Arial" w:cs="Arial"/>
          <w:b/>
          <w:bCs/>
        </w:rPr>
        <w:t>ridotta del 50,3% tra il 2007 e il 2011</w:t>
      </w:r>
      <w:r w:rsidR="000914D7" w:rsidRPr="00DB54CE">
        <w:rPr>
          <w:rFonts w:ascii="Arial" w:hAnsi="Arial" w:cs="Arial"/>
        </w:rPr>
        <w:t xml:space="preserve"> passando da 4.571 milioni di euro a 2.270 milioni di euro per poi risalire a 2.930 milioni di euro nel 2013 (ultimo dato disponibile). In termini comparativi, basta considerare che la stessa spesa in Germania, nel medesimo periodo, è cresciuta del 9,7%, in Francia è rimasta stabile, nel Regno Unito è diminuita del 14% e negli Usa è aumentata del 19%. In generale, il dato italiano rappresenta la riduzione più significativa tra i paesi Ocse</w:t>
      </w:r>
      <w:r w:rsidR="00A800CF" w:rsidRPr="00DB54CE">
        <w:rPr>
          <w:rFonts w:ascii="Arial" w:hAnsi="Arial" w:cs="Arial"/>
        </w:rPr>
        <w:t>”</w:t>
      </w:r>
      <w:r w:rsidR="000914D7" w:rsidRPr="00DB54CE">
        <w:rPr>
          <w:rFonts w:ascii="Arial" w:hAnsi="Arial" w:cs="Arial"/>
        </w:rPr>
        <w:t>.</w:t>
      </w:r>
    </w:p>
    <w:p w14:paraId="25AEFE2E" w14:textId="71ECC9AD" w:rsidR="00942AAE" w:rsidRPr="00DB54CE" w:rsidRDefault="00942AAE" w:rsidP="00DB54CE">
      <w:pPr>
        <w:spacing w:after="0" w:line="240" w:lineRule="auto"/>
        <w:jc w:val="both"/>
        <w:rPr>
          <w:rFonts w:ascii="Arial" w:hAnsi="Arial" w:cs="Arial"/>
        </w:rPr>
      </w:pPr>
    </w:p>
    <w:p w14:paraId="22F94D88" w14:textId="01BB8FBB" w:rsidR="00474735" w:rsidRPr="00DB54CE" w:rsidRDefault="00DB54CE" w:rsidP="00DB54CE">
      <w:pPr>
        <w:spacing w:after="0" w:line="240" w:lineRule="auto"/>
        <w:jc w:val="both"/>
        <w:rPr>
          <w:rFonts w:ascii="Arial" w:eastAsia="Times New Roman" w:hAnsi="Arial" w:cs="Arial"/>
        </w:rPr>
      </w:pPr>
      <w:r w:rsidRPr="00DB54CE">
        <w:rPr>
          <w:rFonts w:ascii="Arial" w:hAnsi="Arial" w:cs="Arial"/>
        </w:rPr>
        <w:t>Coppola ha poi affermato che “u</w:t>
      </w:r>
      <w:r w:rsidR="00474735" w:rsidRPr="00DB54CE">
        <w:rPr>
          <w:rFonts w:ascii="Arial" w:hAnsi="Arial" w:cs="Arial"/>
        </w:rPr>
        <w:t xml:space="preserve">n altro elemento di criticità è rappresentato dal fatto che tra gli obiettivi del PNRR </w:t>
      </w:r>
      <w:r w:rsidRPr="00DB54CE">
        <w:rPr>
          <w:rFonts w:ascii="Arial" w:hAnsi="Arial" w:cs="Arial"/>
        </w:rPr>
        <w:t>sono assenti</w:t>
      </w:r>
      <w:r w:rsidR="00474735" w:rsidRPr="00DB54CE">
        <w:rPr>
          <w:rFonts w:ascii="Arial" w:hAnsi="Arial" w:cs="Arial"/>
        </w:rPr>
        <w:t xml:space="preserve"> indicazion</w:t>
      </w:r>
      <w:r w:rsidRPr="00DB54CE">
        <w:rPr>
          <w:rFonts w:ascii="Arial" w:hAnsi="Arial" w:cs="Arial"/>
        </w:rPr>
        <w:t>i</w:t>
      </w:r>
      <w:r w:rsidR="00474735" w:rsidRPr="00DB54CE">
        <w:rPr>
          <w:rFonts w:ascii="Arial" w:hAnsi="Arial" w:cs="Arial"/>
        </w:rPr>
        <w:t xml:space="preserve"> in merito alla </w:t>
      </w:r>
      <w:r w:rsidR="00474735" w:rsidRPr="00DB54CE">
        <w:rPr>
          <w:rFonts w:ascii="Arial" w:hAnsi="Arial" w:cs="Arial"/>
          <w:b/>
          <w:bCs/>
        </w:rPr>
        <w:t>giustizia tributaria</w:t>
      </w:r>
      <w:r w:rsidRPr="00DB54CE">
        <w:rPr>
          <w:rFonts w:ascii="Arial" w:hAnsi="Arial" w:cs="Arial"/>
          <w:b/>
          <w:bCs/>
        </w:rPr>
        <w:t>”</w:t>
      </w:r>
      <w:r w:rsidR="00474735" w:rsidRPr="00DB54CE">
        <w:rPr>
          <w:rFonts w:ascii="Arial" w:hAnsi="Arial" w:cs="Arial"/>
        </w:rPr>
        <w:t xml:space="preserve">. </w:t>
      </w:r>
      <w:r w:rsidR="003215C9" w:rsidRPr="00DB54CE">
        <w:rPr>
          <w:rFonts w:ascii="Arial" w:hAnsi="Arial" w:cs="Arial"/>
        </w:rPr>
        <w:t>“</w:t>
      </w:r>
      <w:r w:rsidR="00474735" w:rsidRPr="00DB54CE">
        <w:rPr>
          <w:rFonts w:ascii="Arial" w:hAnsi="Arial" w:cs="Arial"/>
        </w:rPr>
        <w:t>In molte Commissioni tributarie</w:t>
      </w:r>
      <w:r w:rsidR="003215C9" w:rsidRPr="00DB54CE">
        <w:rPr>
          <w:rFonts w:ascii="Arial" w:hAnsi="Arial" w:cs="Arial"/>
        </w:rPr>
        <w:t xml:space="preserve"> – denunciano i commercialisti – </w:t>
      </w:r>
      <w:r w:rsidR="00474735" w:rsidRPr="00DB54CE">
        <w:rPr>
          <w:rFonts w:ascii="Arial" w:hAnsi="Arial" w:cs="Arial"/>
        </w:rPr>
        <w:t>l’udienza a distanza con collegamento da remoto non è ancora entrata a regime</w:t>
      </w:r>
      <w:r w:rsidR="003215C9" w:rsidRPr="00DB54CE">
        <w:rPr>
          <w:rFonts w:ascii="Arial" w:hAnsi="Arial" w:cs="Arial"/>
        </w:rPr>
        <w:t xml:space="preserve"> </w:t>
      </w:r>
      <w:r w:rsidR="00474735" w:rsidRPr="00DB54CE">
        <w:rPr>
          <w:rFonts w:ascii="Arial" w:hAnsi="Arial" w:cs="Arial"/>
        </w:rPr>
        <w:t xml:space="preserve">a causa del mancato adeguamento delle infrastrutture tecnologiche e delle reti di collegamento a disposizione dei </w:t>
      </w:r>
      <w:r w:rsidR="003215C9" w:rsidRPr="00DB54CE">
        <w:rPr>
          <w:rFonts w:ascii="Arial" w:hAnsi="Arial" w:cs="Arial"/>
        </w:rPr>
        <w:t>c</w:t>
      </w:r>
      <w:r w:rsidR="00474735" w:rsidRPr="00DB54CE">
        <w:rPr>
          <w:rFonts w:ascii="Arial" w:hAnsi="Arial" w:cs="Arial"/>
        </w:rPr>
        <w:t>ollegi giudicanti. Tale carenza sta provocando ingiustificate disparità di trattamento nella trattazione delle controversie che sono decise secondo la modalità “cartolare” senza un vero e proprio contraddittorio orale tra le parti e il Collegio giudicante, con grave pregiudizio del diritto di difesa del contribuente e dei principi del giusto processo</w:t>
      </w:r>
      <w:r w:rsidR="003215C9" w:rsidRPr="00DB54CE">
        <w:rPr>
          <w:rFonts w:ascii="Arial" w:hAnsi="Arial" w:cs="Arial"/>
        </w:rPr>
        <w:t>”</w:t>
      </w:r>
      <w:r w:rsidR="00474735" w:rsidRPr="00DB54CE">
        <w:rPr>
          <w:rFonts w:ascii="Arial" w:hAnsi="Arial" w:cs="Arial"/>
        </w:rPr>
        <w:t xml:space="preserve">. </w:t>
      </w:r>
      <w:r w:rsidR="003215C9" w:rsidRPr="00DB54CE">
        <w:rPr>
          <w:rFonts w:ascii="Arial" w:hAnsi="Arial" w:cs="Arial"/>
        </w:rPr>
        <w:t>N</w:t>
      </w:r>
      <w:r w:rsidR="00474735" w:rsidRPr="00DB54CE">
        <w:rPr>
          <w:rFonts w:ascii="Arial" w:hAnsi="Arial" w:cs="Arial"/>
        </w:rPr>
        <w:t xml:space="preserve">ell’ottica dell’efficientamento della </w:t>
      </w:r>
      <w:r w:rsidR="00F17ED5" w:rsidRPr="00DB54CE">
        <w:rPr>
          <w:rFonts w:ascii="Arial" w:hAnsi="Arial" w:cs="Arial"/>
        </w:rPr>
        <w:t>g</w:t>
      </w:r>
      <w:r w:rsidR="00474735" w:rsidRPr="00DB54CE">
        <w:rPr>
          <w:rFonts w:ascii="Arial" w:hAnsi="Arial" w:cs="Arial"/>
        </w:rPr>
        <w:t>iustizia tributaria, anche successiva</w:t>
      </w:r>
      <w:r w:rsidR="00F17ED5" w:rsidRPr="00DB54CE">
        <w:rPr>
          <w:rFonts w:ascii="Arial" w:hAnsi="Arial" w:cs="Arial"/>
        </w:rPr>
        <w:t>mente</w:t>
      </w:r>
      <w:r w:rsidR="00474735" w:rsidRPr="00DB54CE">
        <w:rPr>
          <w:rFonts w:ascii="Arial" w:hAnsi="Arial" w:cs="Arial"/>
        </w:rPr>
        <w:t xml:space="preserve"> al periodo emergenziale in corso, </w:t>
      </w:r>
      <w:r w:rsidR="00F17ED5" w:rsidRPr="00DB54CE">
        <w:rPr>
          <w:rFonts w:ascii="Arial" w:hAnsi="Arial" w:cs="Arial"/>
        </w:rPr>
        <w:t xml:space="preserve">è </w:t>
      </w:r>
      <w:r w:rsidR="00474735" w:rsidRPr="00DB54CE">
        <w:rPr>
          <w:rFonts w:ascii="Arial" w:hAnsi="Arial" w:cs="Arial"/>
        </w:rPr>
        <w:t>pertanto necessario</w:t>
      </w:r>
      <w:r w:rsidRPr="00DB54CE">
        <w:rPr>
          <w:rFonts w:ascii="Arial" w:hAnsi="Arial" w:cs="Arial"/>
        </w:rPr>
        <w:t>, ha affermato Coppola</w:t>
      </w:r>
      <w:r w:rsidR="00474735" w:rsidRPr="00DB54CE">
        <w:rPr>
          <w:rFonts w:ascii="Arial" w:hAnsi="Arial" w:cs="Arial"/>
        </w:rPr>
        <w:t xml:space="preserve"> </w:t>
      </w:r>
      <w:r w:rsidRPr="00DB54CE">
        <w:rPr>
          <w:rFonts w:ascii="Arial" w:hAnsi="Arial" w:cs="Arial"/>
        </w:rPr>
        <w:t>“</w:t>
      </w:r>
      <w:r w:rsidR="00474735" w:rsidRPr="00DB54CE">
        <w:rPr>
          <w:rFonts w:ascii="Arial" w:hAnsi="Arial" w:cs="Arial"/>
          <w:b/>
          <w:bCs/>
        </w:rPr>
        <w:t>investire nelle dotazioni tecnologiche</w:t>
      </w:r>
      <w:r w:rsidR="00474735" w:rsidRPr="00DB54CE">
        <w:rPr>
          <w:rFonts w:ascii="Arial" w:hAnsi="Arial" w:cs="Arial"/>
        </w:rPr>
        <w:t xml:space="preserve"> delle Commissioni tributarie in termini di hardware</w:t>
      </w:r>
      <w:r w:rsidR="003215C9" w:rsidRPr="00DB54CE">
        <w:rPr>
          <w:rFonts w:ascii="Arial" w:hAnsi="Arial" w:cs="Arial"/>
        </w:rPr>
        <w:t xml:space="preserve">, </w:t>
      </w:r>
      <w:r w:rsidR="00474735" w:rsidRPr="00DB54CE">
        <w:rPr>
          <w:rFonts w:ascii="Arial" w:hAnsi="Arial" w:cs="Arial"/>
        </w:rPr>
        <w:t>software</w:t>
      </w:r>
      <w:r w:rsidR="003215C9" w:rsidRPr="00DB54CE">
        <w:rPr>
          <w:rFonts w:ascii="Arial" w:hAnsi="Arial" w:cs="Arial"/>
        </w:rPr>
        <w:t xml:space="preserve">, </w:t>
      </w:r>
      <w:r w:rsidR="00474735" w:rsidRPr="00DB54CE">
        <w:rPr>
          <w:rFonts w:ascii="Arial" w:hAnsi="Arial" w:cs="Arial"/>
        </w:rPr>
        <w:t>infrastrutture tecnologiche e reti di collegamento</w:t>
      </w:r>
      <w:r w:rsidRPr="00DB54CE">
        <w:rPr>
          <w:rFonts w:ascii="Arial" w:hAnsi="Arial" w:cs="Arial"/>
        </w:rPr>
        <w:t>”</w:t>
      </w:r>
      <w:r w:rsidR="00474735" w:rsidRPr="00DB54CE">
        <w:rPr>
          <w:rFonts w:ascii="Arial" w:hAnsi="Arial" w:cs="Arial"/>
        </w:rPr>
        <w:t>.</w:t>
      </w:r>
    </w:p>
    <w:p w14:paraId="55936AD7" w14:textId="77777777" w:rsidR="00474735" w:rsidRPr="00DB54CE" w:rsidRDefault="00474735" w:rsidP="00DB54C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ACC2DF4" w14:textId="1385B58E" w:rsidR="001F07F4" w:rsidRPr="00DB54CE" w:rsidRDefault="001F07F4" w:rsidP="00DB54CE">
      <w:pPr>
        <w:spacing w:after="0" w:line="240" w:lineRule="auto"/>
        <w:jc w:val="both"/>
        <w:rPr>
          <w:rFonts w:ascii="Arial" w:hAnsi="Arial" w:cs="Arial"/>
        </w:rPr>
      </w:pPr>
    </w:p>
    <w:sectPr w:rsidR="001F07F4" w:rsidRPr="00DB54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8E100" w14:textId="77777777" w:rsidR="005418DA" w:rsidRDefault="005418DA" w:rsidP="00AA6862">
      <w:pPr>
        <w:spacing w:after="0" w:line="240" w:lineRule="auto"/>
      </w:pPr>
      <w:r>
        <w:separator/>
      </w:r>
    </w:p>
  </w:endnote>
  <w:endnote w:type="continuationSeparator" w:id="0">
    <w:p w14:paraId="087FAF27" w14:textId="77777777" w:rsidR="005418DA" w:rsidRDefault="005418DA" w:rsidP="00AA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2320A" w14:textId="77777777" w:rsidR="005418DA" w:rsidRDefault="005418DA" w:rsidP="00AA6862">
      <w:pPr>
        <w:spacing w:after="0" w:line="240" w:lineRule="auto"/>
      </w:pPr>
      <w:r>
        <w:separator/>
      </w:r>
    </w:p>
  </w:footnote>
  <w:footnote w:type="continuationSeparator" w:id="0">
    <w:p w14:paraId="4FA56A63" w14:textId="77777777" w:rsidR="005418DA" w:rsidRDefault="005418DA" w:rsidP="00AA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A62BF" w14:textId="786E6606" w:rsidR="00AA6862" w:rsidRDefault="00AA6862">
    <w:pPr>
      <w:pStyle w:val="Intestazione"/>
    </w:pPr>
    <w:r w:rsidRPr="00A945F8">
      <w:rPr>
        <w:noProof/>
      </w:rPr>
      <w:drawing>
        <wp:inline distT="0" distB="0" distL="0" distR="0" wp14:anchorId="3E4CE58C" wp14:editId="270EFEF5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F4"/>
    <w:rsid w:val="000914D7"/>
    <w:rsid w:val="00191DD3"/>
    <w:rsid w:val="001F07F4"/>
    <w:rsid w:val="0024297D"/>
    <w:rsid w:val="003215C9"/>
    <w:rsid w:val="00474735"/>
    <w:rsid w:val="004A4801"/>
    <w:rsid w:val="005418DA"/>
    <w:rsid w:val="005431A6"/>
    <w:rsid w:val="005608A4"/>
    <w:rsid w:val="00567BA9"/>
    <w:rsid w:val="005A47DC"/>
    <w:rsid w:val="005C6F31"/>
    <w:rsid w:val="005D73A9"/>
    <w:rsid w:val="005F69CE"/>
    <w:rsid w:val="00601D17"/>
    <w:rsid w:val="00657927"/>
    <w:rsid w:val="0071422D"/>
    <w:rsid w:val="007252F1"/>
    <w:rsid w:val="007810BD"/>
    <w:rsid w:val="00920717"/>
    <w:rsid w:val="00942AAE"/>
    <w:rsid w:val="00A800CF"/>
    <w:rsid w:val="00AA6862"/>
    <w:rsid w:val="00B852B1"/>
    <w:rsid w:val="00B92262"/>
    <w:rsid w:val="00C022CA"/>
    <w:rsid w:val="00C371D5"/>
    <w:rsid w:val="00C963B8"/>
    <w:rsid w:val="00D85917"/>
    <w:rsid w:val="00DB54CE"/>
    <w:rsid w:val="00E25B52"/>
    <w:rsid w:val="00E97C0E"/>
    <w:rsid w:val="00EB43DC"/>
    <w:rsid w:val="00F17ED5"/>
    <w:rsid w:val="00F626B6"/>
    <w:rsid w:val="00F862E1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4D5"/>
  <w15:chartTrackingRefBased/>
  <w15:docId w15:val="{4060DD11-81CB-4D0A-947D-3144C17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862"/>
  </w:style>
  <w:style w:type="paragraph" w:styleId="Pidipagina">
    <w:name w:val="footer"/>
    <w:basedOn w:val="Normale"/>
    <w:link w:val="PidipaginaCarattere"/>
    <w:uiPriority w:val="99"/>
    <w:unhideWhenUsed/>
    <w:rsid w:val="00AA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2021-03-04T15:12:00Z</dcterms:created>
  <dcterms:modified xsi:type="dcterms:W3CDTF">2021-03-04T15:31:00Z</dcterms:modified>
</cp:coreProperties>
</file>