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2E1A" w14:textId="77777777" w:rsidR="00AC4100" w:rsidRPr="00C81237" w:rsidRDefault="00AC4100" w:rsidP="00C81237">
      <w:pPr>
        <w:pStyle w:val="NormaleWeb"/>
        <w:spacing w:before="0" w:beforeAutospacing="0" w:after="0" w:afterAutospacing="0"/>
        <w:jc w:val="both"/>
        <w:rPr>
          <w:rFonts w:ascii="Arial" w:hAnsi="Arial" w:cs="Arial"/>
        </w:rPr>
      </w:pPr>
      <w:bookmarkStart w:id="0" w:name="_GoBack"/>
      <w:bookmarkEnd w:id="0"/>
    </w:p>
    <w:p w14:paraId="45E100F8" w14:textId="5E0AC142" w:rsidR="007E42DB" w:rsidRDefault="007E42DB" w:rsidP="007E42DB">
      <w:pPr>
        <w:pStyle w:val="p3"/>
        <w:jc w:val="both"/>
        <w:rPr>
          <w:rFonts w:ascii="Arial" w:hAnsi="Arial" w:cs="Arial"/>
          <w:sz w:val="24"/>
          <w:szCs w:val="24"/>
        </w:rPr>
      </w:pPr>
      <w:r>
        <w:rPr>
          <w:rFonts w:ascii="Arial" w:hAnsi="Arial" w:cs="Arial"/>
          <w:sz w:val="24"/>
          <w:szCs w:val="24"/>
        </w:rPr>
        <w:t>COMUNICATO STAMPA</w:t>
      </w:r>
    </w:p>
    <w:p w14:paraId="5DA4EDC5" w14:textId="77777777" w:rsidR="007E42DB" w:rsidRDefault="007E42DB" w:rsidP="007E42DB">
      <w:pPr>
        <w:pStyle w:val="p3"/>
        <w:jc w:val="both"/>
        <w:rPr>
          <w:rFonts w:ascii="Arial" w:hAnsi="Arial" w:cs="Arial"/>
          <w:sz w:val="24"/>
          <w:szCs w:val="24"/>
        </w:rPr>
      </w:pPr>
    </w:p>
    <w:p w14:paraId="2F833BC7" w14:textId="2DA1FFF6" w:rsidR="007E42DB" w:rsidRDefault="00930DE4" w:rsidP="007E42DB">
      <w:pPr>
        <w:pStyle w:val="p1"/>
        <w:shd w:val="clear" w:color="auto" w:fill="FFFFFF"/>
        <w:jc w:val="both"/>
        <w:rPr>
          <w:rFonts w:ascii="Arial" w:hAnsi="Arial" w:cs="Arial"/>
          <w:color w:val="121417"/>
          <w:sz w:val="24"/>
          <w:szCs w:val="24"/>
        </w:rPr>
      </w:pPr>
      <w:r>
        <w:rPr>
          <w:rFonts w:ascii="Arial" w:hAnsi="Arial" w:cs="Arial"/>
          <w:b/>
          <w:bCs/>
          <w:color w:val="121417"/>
          <w:sz w:val="24"/>
          <w:szCs w:val="24"/>
        </w:rPr>
        <w:t>COMMERCIALISTI:</w:t>
      </w:r>
      <w:r>
        <w:rPr>
          <w:rFonts w:ascii="Arial" w:hAnsi="Arial" w:cs="Arial"/>
          <w:b/>
          <w:bCs/>
          <w:color w:val="000000"/>
          <w:sz w:val="24"/>
          <w:szCs w:val="24"/>
        </w:rPr>
        <w:t xml:space="preserve"> </w:t>
      </w:r>
      <w:r>
        <w:rPr>
          <w:rFonts w:ascii="Arial" w:hAnsi="Arial" w:cs="Arial"/>
          <w:b/>
          <w:bCs/>
          <w:color w:val="121417"/>
          <w:sz w:val="24"/>
          <w:szCs w:val="24"/>
        </w:rPr>
        <w:t>ATTENZIONE PUNTATA SULLE DISPOSIZIONI EMERGENZIALI PER LA REDAZIONE DEL BILANCIO</w:t>
      </w:r>
    </w:p>
    <w:p w14:paraId="5898FD89" w14:textId="5D9FC373" w:rsidR="007E42DB" w:rsidRDefault="007E42DB" w:rsidP="007E42DB">
      <w:pPr>
        <w:pStyle w:val="p1"/>
        <w:shd w:val="clear" w:color="auto" w:fill="FFFFFF"/>
        <w:jc w:val="both"/>
        <w:rPr>
          <w:rFonts w:ascii="Arial" w:hAnsi="Arial" w:cs="Arial"/>
          <w:color w:val="121417"/>
          <w:sz w:val="24"/>
          <w:szCs w:val="24"/>
        </w:rPr>
      </w:pPr>
      <w:r>
        <w:rPr>
          <w:rFonts w:ascii="Arial" w:hAnsi="Arial" w:cs="Arial"/>
          <w:b/>
          <w:bCs/>
          <w:color w:val="121417"/>
          <w:sz w:val="24"/>
          <w:szCs w:val="24"/>
        </w:rPr>
        <w:t>Approfonditi i principali provvedimenti legislativi e non, adottati dagli organismi nazionali e di categoria, in risposta agli eventi pandemici</w:t>
      </w:r>
    </w:p>
    <w:p w14:paraId="00434C1D" w14:textId="77777777" w:rsidR="007E42DB" w:rsidRDefault="007E42DB" w:rsidP="007E42DB">
      <w:pPr>
        <w:pStyle w:val="p2"/>
        <w:shd w:val="clear" w:color="auto" w:fill="FFFFFF"/>
        <w:jc w:val="both"/>
        <w:rPr>
          <w:rFonts w:ascii="Arial" w:hAnsi="Arial" w:cs="Arial"/>
          <w:color w:val="121417"/>
          <w:sz w:val="24"/>
          <w:szCs w:val="24"/>
        </w:rPr>
      </w:pPr>
    </w:p>
    <w:p w14:paraId="30CB91C2" w14:textId="77777777" w:rsidR="007E42DB" w:rsidRDefault="007E42DB" w:rsidP="007E42DB">
      <w:pPr>
        <w:pStyle w:val="p2"/>
        <w:shd w:val="clear" w:color="auto" w:fill="FFFFFF"/>
        <w:jc w:val="both"/>
        <w:rPr>
          <w:rFonts w:ascii="Arial" w:hAnsi="Arial" w:cs="Arial"/>
          <w:color w:val="121417"/>
          <w:sz w:val="24"/>
          <w:szCs w:val="24"/>
        </w:rPr>
      </w:pPr>
    </w:p>
    <w:p w14:paraId="0CA3932D" w14:textId="77777777" w:rsidR="007E42DB" w:rsidRDefault="007E42DB" w:rsidP="007E42DB">
      <w:pPr>
        <w:pStyle w:val="p3"/>
        <w:jc w:val="both"/>
        <w:rPr>
          <w:rFonts w:ascii="Arial" w:hAnsi="Arial" w:cs="Arial"/>
          <w:color w:val="000000"/>
          <w:sz w:val="24"/>
          <w:szCs w:val="24"/>
        </w:rPr>
      </w:pPr>
      <w:r>
        <w:rPr>
          <w:rFonts w:ascii="Arial" w:hAnsi="Arial" w:cs="Arial"/>
          <w:i/>
          <w:iCs/>
          <w:color w:val="000000"/>
          <w:sz w:val="24"/>
          <w:szCs w:val="24"/>
        </w:rPr>
        <w:t>Roma</w:t>
      </w:r>
      <w:r>
        <w:rPr>
          <w:rFonts w:ascii="Arial" w:hAnsi="Arial" w:cs="Arial"/>
          <w:i/>
          <w:iCs/>
          <w:sz w:val="24"/>
          <w:szCs w:val="24"/>
        </w:rPr>
        <w:t>,</w:t>
      </w:r>
      <w:r>
        <w:rPr>
          <w:rFonts w:ascii="Arial" w:hAnsi="Arial" w:cs="Arial"/>
          <w:i/>
          <w:iCs/>
          <w:color w:val="000000"/>
          <w:sz w:val="24"/>
          <w:szCs w:val="24"/>
        </w:rPr>
        <w:t xml:space="preserve"> 4 gennaio 2021</w:t>
      </w:r>
      <w:r>
        <w:rPr>
          <w:rFonts w:ascii="Arial" w:hAnsi="Arial" w:cs="Arial"/>
          <w:sz w:val="24"/>
          <w:szCs w:val="24"/>
        </w:rPr>
        <w:t xml:space="preserve"> - </w:t>
      </w:r>
      <w:r>
        <w:rPr>
          <w:rFonts w:ascii="Arial" w:hAnsi="Arial" w:cs="Arial"/>
          <w:color w:val="000000"/>
          <w:sz w:val="24"/>
          <w:szCs w:val="24"/>
        </w:rPr>
        <w:t xml:space="preserve">Il Consiglio e la Fondazione </w:t>
      </w:r>
      <w:r>
        <w:rPr>
          <w:rFonts w:ascii="Arial" w:hAnsi="Arial" w:cs="Arial"/>
          <w:sz w:val="24"/>
          <w:szCs w:val="24"/>
        </w:rPr>
        <w:t>n</w:t>
      </w:r>
      <w:r>
        <w:rPr>
          <w:rFonts w:ascii="Arial" w:hAnsi="Arial" w:cs="Arial"/>
          <w:color w:val="000000"/>
          <w:sz w:val="24"/>
          <w:szCs w:val="24"/>
        </w:rPr>
        <w:t>azional</w:t>
      </w:r>
      <w:r>
        <w:rPr>
          <w:rFonts w:ascii="Arial" w:hAnsi="Arial" w:cs="Arial"/>
          <w:sz w:val="24"/>
          <w:szCs w:val="24"/>
        </w:rPr>
        <w:t>i</w:t>
      </w:r>
      <w:r>
        <w:rPr>
          <w:rFonts w:ascii="Arial" w:hAnsi="Arial" w:cs="Arial"/>
          <w:color w:val="000000"/>
          <w:sz w:val="24"/>
          <w:szCs w:val="24"/>
        </w:rPr>
        <w:t xml:space="preserve"> dei </w:t>
      </w:r>
      <w:r>
        <w:rPr>
          <w:rFonts w:ascii="Arial" w:hAnsi="Arial" w:cs="Arial"/>
          <w:sz w:val="24"/>
          <w:szCs w:val="24"/>
        </w:rPr>
        <w:t>c</w:t>
      </w:r>
      <w:r>
        <w:rPr>
          <w:rFonts w:ascii="Arial" w:hAnsi="Arial" w:cs="Arial"/>
          <w:color w:val="000000"/>
          <w:sz w:val="24"/>
          <w:szCs w:val="24"/>
        </w:rPr>
        <w:t>ommercialisti hanno pubblicato il nuovo numero dell’informativa periodica “Valutazione e Controlli” che</w:t>
      </w:r>
      <w:r>
        <w:rPr>
          <w:rStyle w:val="apple-converted-space"/>
          <w:rFonts w:ascii="Arial" w:hAnsi="Arial" w:cs="Arial"/>
          <w:color w:val="000000"/>
          <w:sz w:val="24"/>
          <w:szCs w:val="24"/>
        </w:rPr>
        <w:t> </w:t>
      </w:r>
      <w:r>
        <w:rPr>
          <w:rFonts w:ascii="Arial" w:hAnsi="Arial" w:cs="Arial"/>
          <w:color w:val="000000"/>
          <w:sz w:val="24"/>
          <w:szCs w:val="24"/>
        </w:rPr>
        <w:t>approfondisce i principali provvedimenti legislativi e non, adottati dagli organismi nazionali e di categoria, in risposta agli eventi pandemici.</w:t>
      </w:r>
    </w:p>
    <w:p w14:paraId="7A51E316" w14:textId="77777777" w:rsidR="007E42DB" w:rsidRDefault="007E42DB" w:rsidP="007E42DB">
      <w:pPr>
        <w:pStyle w:val="p3"/>
        <w:jc w:val="both"/>
      </w:pPr>
    </w:p>
    <w:p w14:paraId="3281B69C" w14:textId="77777777" w:rsidR="007E42DB" w:rsidRDefault="007E42DB" w:rsidP="007E42DB">
      <w:pPr>
        <w:pStyle w:val="p3"/>
        <w:jc w:val="both"/>
        <w:rPr>
          <w:rFonts w:ascii="Arial" w:hAnsi="Arial" w:cs="Arial"/>
          <w:sz w:val="24"/>
          <w:szCs w:val="24"/>
        </w:rPr>
      </w:pPr>
      <w:r>
        <w:rPr>
          <w:rFonts w:ascii="Arial" w:hAnsi="Arial" w:cs="Arial"/>
          <w:color w:val="000000"/>
          <w:sz w:val="24"/>
          <w:szCs w:val="24"/>
        </w:rPr>
        <w:t>Nella prima parte del documento, quell</w:t>
      </w:r>
      <w:r>
        <w:rPr>
          <w:rFonts w:ascii="Arial" w:hAnsi="Arial" w:cs="Arial"/>
          <w:sz w:val="24"/>
          <w:szCs w:val="24"/>
        </w:rPr>
        <w:t>a</w:t>
      </w:r>
      <w:r>
        <w:rPr>
          <w:rFonts w:ascii="Arial" w:hAnsi="Arial" w:cs="Arial"/>
          <w:color w:val="000000"/>
          <w:sz w:val="24"/>
          <w:szCs w:val="24"/>
        </w:rPr>
        <w:t xml:space="preserve"> dedicat</w:t>
      </w:r>
      <w:r>
        <w:rPr>
          <w:rFonts w:ascii="Arial" w:hAnsi="Arial" w:cs="Arial"/>
          <w:sz w:val="24"/>
          <w:szCs w:val="24"/>
        </w:rPr>
        <w:t>a</w:t>
      </w:r>
      <w:r>
        <w:rPr>
          <w:rFonts w:ascii="Arial" w:hAnsi="Arial" w:cs="Arial"/>
          <w:color w:val="000000"/>
          <w:sz w:val="24"/>
          <w:szCs w:val="24"/>
        </w:rPr>
        <w:t xml:space="preserve"> ai Principi Contabili Nazionali, è riportato l’intervento legislativo sulla sospensione degli ammortamenti (legge n. 126/2020). A ciò si aggiung</w:t>
      </w:r>
      <w:r>
        <w:rPr>
          <w:rFonts w:ascii="Arial" w:hAnsi="Arial" w:cs="Arial"/>
          <w:sz w:val="24"/>
          <w:szCs w:val="24"/>
        </w:rPr>
        <w:t>e</w:t>
      </w:r>
      <w:r>
        <w:rPr>
          <w:rFonts w:ascii="Arial" w:hAnsi="Arial" w:cs="Arial"/>
          <w:color w:val="000000"/>
          <w:sz w:val="24"/>
          <w:szCs w:val="24"/>
        </w:rPr>
        <w:t xml:space="preserve"> il richiamo alla bozza del </w:t>
      </w:r>
      <w:r>
        <w:rPr>
          <w:rFonts w:ascii="Arial" w:hAnsi="Arial" w:cs="Arial"/>
          <w:sz w:val="24"/>
          <w:szCs w:val="24"/>
        </w:rPr>
        <w:t>D</w:t>
      </w:r>
      <w:r>
        <w:rPr>
          <w:rFonts w:ascii="Arial" w:hAnsi="Arial" w:cs="Arial"/>
          <w:color w:val="000000"/>
          <w:sz w:val="24"/>
          <w:szCs w:val="24"/>
        </w:rPr>
        <w:t xml:space="preserve">ocumento </w:t>
      </w:r>
      <w:r>
        <w:rPr>
          <w:rFonts w:ascii="Arial" w:hAnsi="Arial" w:cs="Arial"/>
          <w:sz w:val="24"/>
          <w:szCs w:val="24"/>
        </w:rPr>
        <w:t>i</w:t>
      </w:r>
      <w:r>
        <w:rPr>
          <w:rFonts w:ascii="Arial" w:hAnsi="Arial" w:cs="Arial"/>
          <w:color w:val="000000"/>
          <w:sz w:val="24"/>
          <w:szCs w:val="24"/>
        </w:rPr>
        <w:t>nterpretativo OIC n. 8 “</w:t>
      </w:r>
      <w:r>
        <w:rPr>
          <w:rFonts w:ascii="Arial" w:hAnsi="Arial" w:cs="Arial"/>
          <w:i/>
          <w:iCs/>
          <w:color w:val="000000"/>
          <w:sz w:val="24"/>
          <w:szCs w:val="24"/>
        </w:rPr>
        <w:t>Disposizioni transitorie in materia di principi di redazione del bilancio</w:t>
      </w:r>
      <w:r>
        <w:rPr>
          <w:rFonts w:ascii="Arial" w:hAnsi="Arial" w:cs="Arial"/>
          <w:color w:val="000000"/>
          <w:sz w:val="24"/>
          <w:szCs w:val="24"/>
        </w:rPr>
        <w:t xml:space="preserve">”, la Risposta OIC in merito a un quesito pervenuto in merito alla classificazione di partecipazioni acquisite con l’intendimento di una futura rivendita, la bozza del </w:t>
      </w:r>
      <w:r>
        <w:rPr>
          <w:rFonts w:ascii="Arial" w:hAnsi="Arial" w:cs="Arial"/>
          <w:sz w:val="24"/>
          <w:szCs w:val="24"/>
        </w:rPr>
        <w:t>D</w:t>
      </w:r>
      <w:r>
        <w:rPr>
          <w:rFonts w:ascii="Arial" w:hAnsi="Arial" w:cs="Arial"/>
          <w:color w:val="000000"/>
          <w:sz w:val="24"/>
          <w:szCs w:val="24"/>
        </w:rPr>
        <w:t xml:space="preserve">ocumento </w:t>
      </w:r>
      <w:r>
        <w:rPr>
          <w:rFonts w:ascii="Arial" w:hAnsi="Arial" w:cs="Arial"/>
          <w:sz w:val="24"/>
          <w:szCs w:val="24"/>
        </w:rPr>
        <w:t>i</w:t>
      </w:r>
      <w:r>
        <w:rPr>
          <w:rFonts w:ascii="Arial" w:hAnsi="Arial" w:cs="Arial"/>
          <w:color w:val="000000"/>
          <w:sz w:val="24"/>
          <w:szCs w:val="24"/>
        </w:rPr>
        <w:t>nterpretativo OIC n. 7, Legge 13 ottobre 2020, n. 126 “</w:t>
      </w:r>
      <w:r>
        <w:rPr>
          <w:rFonts w:ascii="Arial" w:hAnsi="Arial" w:cs="Arial"/>
          <w:i/>
          <w:iCs/>
          <w:color w:val="000000"/>
          <w:sz w:val="24"/>
          <w:szCs w:val="24"/>
        </w:rPr>
        <w:t>Aspetti contabili della rivalutazione dei beni d’impresa e delle partecipazioni</w:t>
      </w:r>
      <w:r>
        <w:rPr>
          <w:rFonts w:ascii="Arial" w:hAnsi="Arial" w:cs="Arial"/>
          <w:color w:val="000000"/>
          <w:sz w:val="24"/>
          <w:szCs w:val="24"/>
        </w:rPr>
        <w:t>”</w:t>
      </w:r>
      <w:r>
        <w:rPr>
          <w:rFonts w:ascii="Arial" w:hAnsi="Arial" w:cs="Arial"/>
          <w:sz w:val="24"/>
          <w:szCs w:val="24"/>
        </w:rPr>
        <w:t>.</w:t>
      </w:r>
    </w:p>
    <w:p w14:paraId="35473CA3" w14:textId="77777777" w:rsidR="007E42DB" w:rsidRDefault="007E42DB" w:rsidP="007E42DB">
      <w:pPr>
        <w:pStyle w:val="p3"/>
        <w:jc w:val="both"/>
        <w:rPr>
          <w:rFonts w:ascii="Arial" w:hAnsi="Arial" w:cs="Arial"/>
          <w:sz w:val="24"/>
          <w:szCs w:val="24"/>
        </w:rPr>
      </w:pPr>
    </w:p>
    <w:p w14:paraId="08EE1B60" w14:textId="77777777" w:rsidR="007E42DB" w:rsidRDefault="007E42DB" w:rsidP="007E42DB">
      <w:pPr>
        <w:pStyle w:val="p3"/>
        <w:jc w:val="both"/>
        <w:rPr>
          <w:rStyle w:val="apple-converted-space"/>
          <w:color w:val="000000"/>
        </w:rPr>
      </w:pPr>
      <w:r>
        <w:rPr>
          <w:rFonts w:ascii="Arial" w:hAnsi="Arial" w:cs="Arial"/>
          <w:color w:val="000000"/>
          <w:sz w:val="24"/>
          <w:szCs w:val="24"/>
        </w:rPr>
        <w:t xml:space="preserve">La sezione sull’OIV invece propone un </w:t>
      </w:r>
      <w:r>
        <w:rPr>
          <w:rFonts w:ascii="Arial" w:hAnsi="Arial" w:cs="Arial"/>
          <w:i/>
          <w:iCs/>
          <w:color w:val="000000"/>
          <w:sz w:val="24"/>
          <w:szCs w:val="24"/>
        </w:rPr>
        <w:t xml:space="preserve">abstract </w:t>
      </w:r>
      <w:r>
        <w:rPr>
          <w:rFonts w:ascii="Arial" w:hAnsi="Arial" w:cs="Arial"/>
          <w:color w:val="000000"/>
          <w:sz w:val="24"/>
          <w:szCs w:val="24"/>
        </w:rPr>
        <w:t>su un articolo pubblicato dalla rivista “</w:t>
      </w:r>
      <w:r>
        <w:rPr>
          <w:rFonts w:ascii="Arial" w:hAnsi="Arial" w:cs="Arial"/>
          <w:i/>
          <w:iCs/>
          <w:color w:val="000000"/>
          <w:sz w:val="24"/>
          <w:szCs w:val="24"/>
        </w:rPr>
        <w:t>La Valutazione delle aziende</w:t>
      </w:r>
      <w:r>
        <w:rPr>
          <w:rFonts w:ascii="Arial" w:hAnsi="Arial" w:cs="Arial"/>
          <w:color w:val="000000"/>
          <w:sz w:val="24"/>
          <w:szCs w:val="24"/>
        </w:rPr>
        <w:t>” dell’Organismo Italiano di Valutazione, dal titolo “</w:t>
      </w:r>
      <w:r>
        <w:rPr>
          <w:rFonts w:ascii="Arial" w:hAnsi="Arial" w:cs="Arial"/>
          <w:i/>
          <w:iCs/>
          <w:color w:val="000000"/>
          <w:sz w:val="24"/>
          <w:szCs w:val="24"/>
        </w:rPr>
        <w:t>Principi e formula generale di valutazione delle imprese a rischio di non sopravvivenza</w:t>
      </w:r>
      <w:r>
        <w:rPr>
          <w:rFonts w:ascii="Arial" w:hAnsi="Arial" w:cs="Arial"/>
          <w:color w:val="000000"/>
          <w:sz w:val="24"/>
          <w:szCs w:val="24"/>
        </w:rPr>
        <w:t>”. L’articolo ha come principale obiettivo quello di offrire al lettore validi suggerimenti per la valutazione delle imprese per cui non è possibile preservare la continuità aziendale, formulando ben 24 principi chiave, alcuni dei quali sono richiamati nell’informativa.</w:t>
      </w:r>
    </w:p>
    <w:p w14:paraId="319CE367" w14:textId="77777777" w:rsidR="007E42DB" w:rsidRDefault="007E42DB" w:rsidP="007E42DB">
      <w:pPr>
        <w:pStyle w:val="p3"/>
        <w:jc w:val="both"/>
      </w:pPr>
    </w:p>
    <w:p w14:paraId="6ACCC2BA" w14:textId="77777777" w:rsidR="007E42DB" w:rsidRDefault="007E42DB" w:rsidP="007E42DB">
      <w:pPr>
        <w:pStyle w:val="p3"/>
        <w:jc w:val="both"/>
        <w:rPr>
          <w:rStyle w:val="apple-converted-space"/>
          <w:rFonts w:ascii="Arial" w:hAnsi="Arial" w:cs="Arial"/>
          <w:color w:val="000000"/>
          <w:sz w:val="24"/>
          <w:szCs w:val="24"/>
        </w:rPr>
      </w:pPr>
      <w:r>
        <w:rPr>
          <w:rFonts w:ascii="Arial" w:hAnsi="Arial" w:cs="Arial"/>
          <w:color w:val="000000"/>
          <w:sz w:val="24"/>
          <w:szCs w:val="24"/>
        </w:rPr>
        <w:t xml:space="preserve">Con riferimento ai Principi di Revisione, terza sezione dell’informativa, l’aggiornamento riguarda l’attività </w:t>
      </w:r>
      <w:proofErr w:type="gramStart"/>
      <w:r>
        <w:rPr>
          <w:rFonts w:ascii="Arial" w:hAnsi="Arial" w:cs="Arial"/>
          <w:color w:val="000000"/>
          <w:sz w:val="24"/>
          <w:szCs w:val="24"/>
        </w:rPr>
        <w:t>posta in essere</w:t>
      </w:r>
      <w:proofErr w:type="gramEnd"/>
      <w:r>
        <w:rPr>
          <w:rFonts w:ascii="Arial" w:hAnsi="Arial" w:cs="Arial"/>
          <w:color w:val="000000"/>
          <w:sz w:val="24"/>
          <w:szCs w:val="24"/>
        </w:rPr>
        <w:t xml:space="preserve"> dall’</w:t>
      </w:r>
      <w:r>
        <w:rPr>
          <w:rFonts w:ascii="Arial" w:hAnsi="Arial" w:cs="Arial"/>
          <w:i/>
          <w:iCs/>
          <w:color w:val="000000"/>
          <w:sz w:val="24"/>
          <w:szCs w:val="24"/>
        </w:rPr>
        <w:t xml:space="preserve">Auditing and Assurance Standards Board </w:t>
      </w:r>
      <w:r>
        <w:rPr>
          <w:rFonts w:ascii="Arial" w:hAnsi="Arial" w:cs="Arial"/>
          <w:color w:val="000000"/>
          <w:sz w:val="24"/>
          <w:szCs w:val="24"/>
        </w:rPr>
        <w:t>(IAASB) - comitato dell’</w:t>
      </w:r>
      <w:r>
        <w:rPr>
          <w:rFonts w:ascii="Arial" w:hAnsi="Arial" w:cs="Arial"/>
          <w:i/>
          <w:iCs/>
          <w:color w:val="000000"/>
          <w:sz w:val="24"/>
          <w:szCs w:val="24"/>
        </w:rPr>
        <w:t xml:space="preserve">International Federation of </w:t>
      </w:r>
      <w:proofErr w:type="spellStart"/>
      <w:r>
        <w:rPr>
          <w:rFonts w:ascii="Arial" w:hAnsi="Arial" w:cs="Arial"/>
          <w:i/>
          <w:iCs/>
          <w:color w:val="000000"/>
          <w:sz w:val="24"/>
          <w:szCs w:val="24"/>
        </w:rPr>
        <w:t>Accountants</w:t>
      </w:r>
      <w:proofErr w:type="spellEnd"/>
      <w:r>
        <w:rPr>
          <w:rFonts w:ascii="Arial" w:hAnsi="Arial" w:cs="Arial"/>
          <w:i/>
          <w:iCs/>
          <w:color w:val="000000"/>
          <w:sz w:val="24"/>
          <w:szCs w:val="24"/>
        </w:rPr>
        <w:t xml:space="preserve"> </w:t>
      </w:r>
      <w:r>
        <w:rPr>
          <w:rFonts w:ascii="Arial" w:hAnsi="Arial" w:cs="Arial"/>
          <w:color w:val="000000"/>
          <w:sz w:val="24"/>
          <w:szCs w:val="24"/>
        </w:rPr>
        <w:t>(IFAC)</w:t>
      </w:r>
      <w:r>
        <w:rPr>
          <w:rFonts w:ascii="Arial" w:hAnsi="Arial" w:cs="Arial"/>
          <w:sz w:val="24"/>
          <w:szCs w:val="24"/>
        </w:rPr>
        <w:t xml:space="preserve"> -</w:t>
      </w:r>
      <w:r>
        <w:rPr>
          <w:rFonts w:ascii="Arial" w:hAnsi="Arial" w:cs="Arial"/>
          <w:color w:val="000000"/>
          <w:sz w:val="24"/>
          <w:szCs w:val="24"/>
        </w:rPr>
        <w:t xml:space="preserve"> in merito all’elaborazione di un separato principio di revisione dedicato alla revisione delle imprese di minori dimensioni o, come definite dallo stesso IAASB, “imprese meno complesse”. In questa sezione si fa cenno anche al corso </w:t>
      </w:r>
      <w:r>
        <w:rPr>
          <w:rFonts w:ascii="Arial" w:hAnsi="Arial" w:cs="Arial"/>
          <w:i/>
          <w:iCs/>
          <w:color w:val="000000"/>
          <w:sz w:val="24"/>
          <w:szCs w:val="24"/>
        </w:rPr>
        <w:t xml:space="preserve">e- learning </w:t>
      </w:r>
      <w:r>
        <w:rPr>
          <w:rFonts w:ascii="Arial" w:hAnsi="Arial" w:cs="Arial"/>
          <w:color w:val="000000"/>
          <w:sz w:val="24"/>
          <w:szCs w:val="24"/>
        </w:rPr>
        <w:t>sulla revisione legale dei conti organizzato dal CNDCEC e messo a disposizione gratuitamente su</w:t>
      </w:r>
      <w:r>
        <w:rPr>
          <w:rFonts w:ascii="Arial" w:hAnsi="Arial" w:cs="Arial"/>
          <w:sz w:val="24"/>
          <w:szCs w:val="24"/>
        </w:rPr>
        <w:t>lla piattaforma</w:t>
      </w:r>
      <w:r>
        <w:rPr>
          <w:rFonts w:ascii="Arial" w:hAnsi="Arial" w:cs="Arial"/>
          <w:color w:val="000000"/>
          <w:sz w:val="24"/>
          <w:szCs w:val="24"/>
        </w:rPr>
        <w:t xml:space="preserve"> “Concerto”.</w:t>
      </w:r>
    </w:p>
    <w:p w14:paraId="4C575161" w14:textId="77777777" w:rsidR="007E42DB" w:rsidRDefault="007E42DB" w:rsidP="007E42DB">
      <w:pPr>
        <w:pStyle w:val="p3"/>
        <w:jc w:val="both"/>
      </w:pPr>
    </w:p>
    <w:p w14:paraId="4CD9E129" w14:textId="77777777" w:rsidR="007E42DB" w:rsidRDefault="007E42DB" w:rsidP="007E42DB">
      <w:pPr>
        <w:pStyle w:val="p3"/>
        <w:jc w:val="both"/>
        <w:rPr>
          <w:rFonts w:ascii="Arial" w:hAnsi="Arial" w:cs="Arial"/>
          <w:sz w:val="24"/>
          <w:szCs w:val="24"/>
        </w:rPr>
      </w:pPr>
      <w:r>
        <w:rPr>
          <w:rFonts w:ascii="Arial" w:hAnsi="Arial" w:cs="Arial"/>
          <w:sz w:val="24"/>
          <w:szCs w:val="24"/>
        </w:rPr>
        <w:t xml:space="preserve">Conclude l’informativa </w:t>
      </w:r>
      <w:r>
        <w:rPr>
          <w:rFonts w:ascii="Arial" w:hAnsi="Arial" w:cs="Arial"/>
          <w:color w:val="000000"/>
          <w:sz w:val="24"/>
          <w:szCs w:val="24"/>
        </w:rPr>
        <w:t xml:space="preserve">la sezione dedicata ai Controlli Interni, in cui il </w:t>
      </w:r>
      <w:r>
        <w:rPr>
          <w:rFonts w:ascii="Arial" w:hAnsi="Arial" w:cs="Arial"/>
          <w:i/>
          <w:iCs/>
          <w:color w:val="000000"/>
          <w:sz w:val="24"/>
          <w:szCs w:val="24"/>
        </w:rPr>
        <w:t xml:space="preserve">focus </w:t>
      </w:r>
      <w:r>
        <w:rPr>
          <w:rFonts w:ascii="Arial" w:hAnsi="Arial" w:cs="Arial"/>
          <w:color w:val="000000"/>
          <w:sz w:val="24"/>
          <w:szCs w:val="24"/>
        </w:rPr>
        <w:t>è sul collegio sindacale delle società non quotate, mediante riferimenti di giurisprudenza (Corte di Cassazione, sez. I civ., 11 dicembre 2020, n. 28375) ed un documento di prassi (Le Norme di comportamento del collegio sindacale di società non quotate)</w:t>
      </w:r>
      <w:r>
        <w:rPr>
          <w:rFonts w:ascii="Arial" w:hAnsi="Arial" w:cs="Arial"/>
          <w:sz w:val="24"/>
          <w:szCs w:val="24"/>
        </w:rPr>
        <w:t>.</w:t>
      </w:r>
    </w:p>
    <w:p w14:paraId="237E41DA" w14:textId="77777777" w:rsidR="00B3271C" w:rsidRPr="00B42729" w:rsidRDefault="00C609E7" w:rsidP="007E42DB">
      <w:pPr>
        <w:spacing w:after="0" w:line="240" w:lineRule="auto"/>
        <w:jc w:val="both"/>
      </w:pPr>
    </w:p>
    <w:sectPr w:rsidR="00B3271C" w:rsidRPr="00B42729"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1F80A" w14:textId="77777777" w:rsidR="00C609E7" w:rsidRDefault="00C609E7" w:rsidP="00627996">
      <w:r>
        <w:separator/>
      </w:r>
    </w:p>
  </w:endnote>
  <w:endnote w:type="continuationSeparator" w:id="0">
    <w:p w14:paraId="0B982D2D" w14:textId="77777777" w:rsidR="00C609E7" w:rsidRDefault="00C609E7"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829C" w14:textId="77777777" w:rsidR="00C609E7" w:rsidRDefault="00C609E7" w:rsidP="00627996">
      <w:r>
        <w:separator/>
      </w:r>
    </w:p>
  </w:footnote>
  <w:footnote w:type="continuationSeparator" w:id="0">
    <w:p w14:paraId="13946BA4" w14:textId="77777777" w:rsidR="00C609E7" w:rsidRDefault="00C609E7"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07D4B" w14:textId="77777777" w:rsidR="00627996" w:rsidRDefault="00627996">
    <w:pPr>
      <w:pStyle w:val="Intestazione"/>
    </w:pPr>
    <w:r w:rsidRPr="00A945F8">
      <w:rPr>
        <w:noProof/>
      </w:rPr>
      <w:drawing>
        <wp:inline distT="0" distB="0" distL="0" distR="0" wp14:anchorId="4783EC83" wp14:editId="2B153003">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8042B"/>
    <w:rsid w:val="001B3759"/>
    <w:rsid w:val="001D0C92"/>
    <w:rsid w:val="00206248"/>
    <w:rsid w:val="00237BEE"/>
    <w:rsid w:val="002B1170"/>
    <w:rsid w:val="002B1507"/>
    <w:rsid w:val="002E31F2"/>
    <w:rsid w:val="003248FA"/>
    <w:rsid w:val="003C2FC0"/>
    <w:rsid w:val="00595991"/>
    <w:rsid w:val="00627996"/>
    <w:rsid w:val="00656CC5"/>
    <w:rsid w:val="006D1127"/>
    <w:rsid w:val="00734687"/>
    <w:rsid w:val="007E42DB"/>
    <w:rsid w:val="00930DE4"/>
    <w:rsid w:val="00986D90"/>
    <w:rsid w:val="009D1104"/>
    <w:rsid w:val="009F27EC"/>
    <w:rsid w:val="00A0254E"/>
    <w:rsid w:val="00AC4100"/>
    <w:rsid w:val="00AC6BB0"/>
    <w:rsid w:val="00B42729"/>
    <w:rsid w:val="00C609E7"/>
    <w:rsid w:val="00C81237"/>
    <w:rsid w:val="00D0285A"/>
    <w:rsid w:val="00D41E98"/>
    <w:rsid w:val="00D80729"/>
    <w:rsid w:val="00DA424D"/>
    <w:rsid w:val="00DB4B99"/>
    <w:rsid w:val="00E031D1"/>
    <w:rsid w:val="00ED244D"/>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5511"/>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2729"/>
    <w:pPr>
      <w:spacing w:after="200" w:line="276" w:lineRule="auto"/>
    </w:pPr>
    <w:rPr>
      <w:rFonts w:ascii="Calibri" w:eastAsia="Calibri" w:hAnsi="Calibri" w:cs="Times New Roman"/>
      <w:sz w:val="22"/>
      <w:szCs w:val="22"/>
    </w:rPr>
  </w:style>
  <w:style w:type="paragraph" w:styleId="Titolo3">
    <w:name w:val="heading 3"/>
    <w:basedOn w:val="Normale"/>
    <w:link w:val="Titolo3Carattere"/>
    <w:uiPriority w:val="9"/>
    <w:qFormat/>
    <w:rsid w:val="00B42729"/>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627996"/>
  </w:style>
  <w:style w:type="character" w:customStyle="1" w:styleId="Titolo3Carattere">
    <w:name w:val="Titolo 3 Carattere"/>
    <w:basedOn w:val="Carpredefinitoparagrafo"/>
    <w:link w:val="Titolo3"/>
    <w:uiPriority w:val="9"/>
    <w:rsid w:val="00B42729"/>
    <w:rPr>
      <w:rFonts w:ascii="Times New Roman" w:eastAsia="Times New Roman" w:hAnsi="Times New Roman" w:cs="Times New Roman"/>
      <w:b/>
      <w:bCs/>
      <w:sz w:val="27"/>
      <w:szCs w:val="27"/>
      <w:lang w:eastAsia="it-IT"/>
    </w:rPr>
  </w:style>
  <w:style w:type="paragraph" w:customStyle="1" w:styleId="p1">
    <w:name w:val="p1"/>
    <w:basedOn w:val="Normale"/>
    <w:rsid w:val="007E42DB"/>
    <w:pPr>
      <w:spacing w:after="0" w:line="240" w:lineRule="auto"/>
    </w:pPr>
    <w:rPr>
      <w:rFonts w:eastAsiaTheme="minorHAnsi" w:cs="Calibri"/>
      <w:lang w:eastAsia="it-IT"/>
    </w:rPr>
  </w:style>
  <w:style w:type="paragraph" w:customStyle="1" w:styleId="p2">
    <w:name w:val="p2"/>
    <w:basedOn w:val="Normale"/>
    <w:rsid w:val="007E42DB"/>
    <w:pPr>
      <w:spacing w:after="0" w:line="240" w:lineRule="auto"/>
    </w:pPr>
    <w:rPr>
      <w:rFonts w:eastAsiaTheme="minorHAnsi" w:cs="Calibri"/>
      <w:lang w:eastAsia="it-IT"/>
    </w:rPr>
  </w:style>
  <w:style w:type="paragraph" w:customStyle="1" w:styleId="p3">
    <w:name w:val="p3"/>
    <w:basedOn w:val="Normale"/>
    <w:rsid w:val="007E42DB"/>
    <w:pPr>
      <w:spacing w:after="0" w:line="240" w:lineRule="auto"/>
    </w:pPr>
    <w:rPr>
      <w:rFonts w:eastAsiaTheme="minorHAnsi" w:cs="Calibri"/>
      <w:lang w:eastAsia="it-IT"/>
    </w:rPr>
  </w:style>
  <w:style w:type="character" w:customStyle="1" w:styleId="apple-converted-space">
    <w:name w:val="apple-converted-space"/>
    <w:basedOn w:val="Carpredefinitoparagrafo"/>
    <w:rsid w:val="007E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89202">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403</Words>
  <Characters>2302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6</cp:revision>
  <dcterms:created xsi:type="dcterms:W3CDTF">2020-12-30T16:51:00Z</dcterms:created>
  <dcterms:modified xsi:type="dcterms:W3CDTF">2021-01-04T13:19:00Z</dcterms:modified>
</cp:coreProperties>
</file>