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2FDC" w14:textId="77777777" w:rsidR="00A4044C" w:rsidRDefault="00A4044C" w:rsidP="00000B1E">
      <w:pPr>
        <w:jc w:val="center"/>
        <w:rPr>
          <w:rFonts w:ascii="Arial" w:hAnsi="Arial" w:cs="Arial"/>
          <w:b/>
          <w:bCs/>
          <w:color w:val="000000"/>
          <w:sz w:val="22"/>
          <w:szCs w:val="22"/>
        </w:rPr>
      </w:pPr>
    </w:p>
    <w:p w14:paraId="3515B2F2" w14:textId="77777777" w:rsidR="00A4044C" w:rsidRDefault="00A4044C" w:rsidP="00000B1E">
      <w:pPr>
        <w:jc w:val="center"/>
        <w:rPr>
          <w:rFonts w:ascii="Arial" w:hAnsi="Arial" w:cs="Arial"/>
          <w:b/>
          <w:bCs/>
          <w:color w:val="000000"/>
          <w:sz w:val="22"/>
          <w:szCs w:val="22"/>
        </w:rPr>
      </w:pPr>
    </w:p>
    <w:p w14:paraId="757EA930" w14:textId="5933D8EC" w:rsidR="00000B1E" w:rsidRPr="00000B1E" w:rsidRDefault="00000B1E" w:rsidP="00000B1E">
      <w:pPr>
        <w:jc w:val="center"/>
        <w:rPr>
          <w:color w:val="000000"/>
          <w:sz w:val="22"/>
          <w:szCs w:val="22"/>
        </w:rPr>
      </w:pPr>
      <w:r w:rsidRPr="00000B1E">
        <w:rPr>
          <w:rFonts w:ascii="Arial" w:hAnsi="Arial" w:cs="Arial"/>
          <w:b/>
          <w:bCs/>
          <w:color w:val="000000"/>
          <w:sz w:val="22"/>
          <w:szCs w:val="22"/>
        </w:rPr>
        <w:t>COMUNICATO STAMPA </w:t>
      </w:r>
    </w:p>
    <w:p w14:paraId="172D9D76" w14:textId="77777777" w:rsidR="00000B1E" w:rsidRPr="00000B1E" w:rsidRDefault="00000B1E" w:rsidP="00000B1E">
      <w:pPr>
        <w:jc w:val="center"/>
        <w:rPr>
          <w:color w:val="000000"/>
          <w:sz w:val="22"/>
          <w:szCs w:val="22"/>
        </w:rPr>
      </w:pPr>
      <w:r w:rsidRPr="00000B1E">
        <w:rPr>
          <w:rFonts w:ascii="Arial" w:hAnsi="Arial" w:cs="Arial"/>
          <w:b/>
          <w:bCs/>
          <w:color w:val="000000"/>
          <w:sz w:val="22"/>
          <w:szCs w:val="22"/>
        </w:rPr>
        <w:t> </w:t>
      </w:r>
    </w:p>
    <w:p w14:paraId="4BFE77A1" w14:textId="77777777" w:rsidR="00000B1E" w:rsidRPr="00000B1E" w:rsidRDefault="00000B1E" w:rsidP="00000B1E">
      <w:pPr>
        <w:jc w:val="center"/>
        <w:rPr>
          <w:color w:val="000000"/>
          <w:sz w:val="22"/>
          <w:szCs w:val="22"/>
        </w:rPr>
      </w:pPr>
      <w:r w:rsidRPr="00000B1E">
        <w:rPr>
          <w:rFonts w:ascii="Arial" w:hAnsi="Arial" w:cs="Arial"/>
          <w:b/>
          <w:bCs/>
          <w:color w:val="000000"/>
          <w:sz w:val="22"/>
          <w:szCs w:val="22"/>
        </w:rPr>
        <w:t xml:space="preserve">COMMERCIALISTI: CRESCE LA SPINTA ALL’AGGREGAZIONE, MA MANCANO ADEGUATI MODELLI DI ORGANIZZAZIONE </w:t>
      </w:r>
      <w:r w:rsidRPr="00000B1E">
        <w:rPr>
          <w:rFonts w:ascii="Arial" w:hAnsi="Arial" w:cs="Arial"/>
          <w:color w:val="000000"/>
          <w:sz w:val="22"/>
          <w:szCs w:val="22"/>
        </w:rPr>
        <w:t> </w:t>
      </w:r>
    </w:p>
    <w:p w14:paraId="7C404B6E" w14:textId="77777777" w:rsidR="00000B1E" w:rsidRPr="00000B1E" w:rsidRDefault="00000B1E" w:rsidP="00000B1E">
      <w:pPr>
        <w:jc w:val="both"/>
        <w:rPr>
          <w:color w:val="000000"/>
          <w:sz w:val="22"/>
          <w:szCs w:val="22"/>
        </w:rPr>
      </w:pPr>
      <w:r w:rsidRPr="00000B1E">
        <w:rPr>
          <w:rFonts w:ascii="Arial" w:hAnsi="Arial" w:cs="Arial"/>
          <w:b/>
          <w:bCs/>
          <w:color w:val="000000"/>
          <w:sz w:val="22"/>
          <w:szCs w:val="22"/>
        </w:rPr>
        <w:t> </w:t>
      </w:r>
    </w:p>
    <w:p w14:paraId="499AA309" w14:textId="77777777" w:rsidR="00000B1E" w:rsidRPr="00000B1E" w:rsidRDefault="00000B1E" w:rsidP="00000B1E">
      <w:pPr>
        <w:jc w:val="both"/>
        <w:rPr>
          <w:color w:val="000000"/>
          <w:sz w:val="22"/>
          <w:szCs w:val="22"/>
        </w:rPr>
      </w:pPr>
      <w:r w:rsidRPr="00000B1E">
        <w:rPr>
          <w:rFonts w:ascii="Arial" w:hAnsi="Arial" w:cs="Arial"/>
          <w:b/>
          <w:bCs/>
          <w:color w:val="000000"/>
          <w:sz w:val="22"/>
          <w:szCs w:val="22"/>
        </w:rPr>
        <w:t>Secondo una ricerca della Fondazione nazionale della categoria, oltre il 40% degli iscritti esercita la professione in forma aggregata, ma la dimensione media degli studi è molto piccola. Le società tra professionisti crescono del 27,4% all’anno, ma riguardano meno del 3% dei commercialisti </w:t>
      </w:r>
    </w:p>
    <w:p w14:paraId="4C6D75A6" w14:textId="77777777" w:rsidR="00000B1E" w:rsidRPr="00000B1E" w:rsidRDefault="00000B1E" w:rsidP="00000B1E">
      <w:pPr>
        <w:jc w:val="both"/>
        <w:rPr>
          <w:color w:val="000000"/>
          <w:sz w:val="22"/>
          <w:szCs w:val="22"/>
        </w:rPr>
      </w:pPr>
      <w:r w:rsidRPr="00000B1E">
        <w:rPr>
          <w:rFonts w:ascii="Arial" w:hAnsi="Arial" w:cs="Arial"/>
          <w:color w:val="000000"/>
          <w:sz w:val="22"/>
          <w:szCs w:val="22"/>
        </w:rPr>
        <w:t> </w:t>
      </w:r>
    </w:p>
    <w:p w14:paraId="1E4731EE" w14:textId="78D9D1B9" w:rsidR="00000B1E" w:rsidRDefault="00000B1E" w:rsidP="00000B1E">
      <w:pPr>
        <w:jc w:val="both"/>
        <w:rPr>
          <w:rFonts w:ascii="Arial" w:hAnsi="Arial" w:cs="Arial"/>
          <w:color w:val="000000"/>
          <w:sz w:val="22"/>
          <w:szCs w:val="22"/>
        </w:rPr>
      </w:pPr>
      <w:r w:rsidRPr="00000B1E">
        <w:rPr>
          <w:rFonts w:ascii="Arial" w:hAnsi="Arial" w:cs="Arial"/>
          <w:bCs/>
          <w:i/>
          <w:iCs/>
          <w:color w:val="000000"/>
          <w:sz w:val="22"/>
          <w:szCs w:val="22"/>
        </w:rPr>
        <w:t xml:space="preserve">Roma, 3 agosto 2022 – </w:t>
      </w:r>
      <w:r w:rsidRPr="00000B1E">
        <w:rPr>
          <w:rFonts w:ascii="Arial" w:hAnsi="Arial" w:cs="Arial"/>
          <w:bCs/>
          <w:color w:val="000000"/>
          <w:sz w:val="22"/>
          <w:szCs w:val="22"/>
        </w:rPr>
        <w:t xml:space="preserve">Oltre il </w:t>
      </w:r>
      <w:r w:rsidRPr="00000B1E">
        <w:rPr>
          <w:rFonts w:ascii="Arial" w:hAnsi="Arial" w:cs="Arial"/>
          <w:b/>
          <w:bCs/>
          <w:color w:val="000000"/>
          <w:sz w:val="22"/>
          <w:szCs w:val="22"/>
        </w:rPr>
        <w:t>40%</w:t>
      </w:r>
      <w:r w:rsidRPr="00000B1E">
        <w:rPr>
          <w:rFonts w:ascii="Arial" w:hAnsi="Arial" w:cs="Arial"/>
          <w:bCs/>
          <w:color w:val="000000"/>
          <w:sz w:val="22"/>
          <w:szCs w:val="22"/>
        </w:rPr>
        <w:t xml:space="preserve"> dei commercialisti italiani esercita la professione in </w:t>
      </w:r>
      <w:r w:rsidRPr="00000B1E">
        <w:rPr>
          <w:rFonts w:ascii="Arial" w:hAnsi="Arial" w:cs="Arial"/>
          <w:b/>
          <w:bCs/>
          <w:color w:val="000000"/>
          <w:sz w:val="22"/>
          <w:szCs w:val="22"/>
        </w:rPr>
        <w:t>forma aggregata</w:t>
      </w:r>
      <w:r w:rsidRPr="00000B1E">
        <w:rPr>
          <w:rFonts w:ascii="Arial" w:hAnsi="Arial" w:cs="Arial"/>
          <w:bCs/>
          <w:color w:val="000000"/>
          <w:sz w:val="22"/>
          <w:szCs w:val="22"/>
        </w:rPr>
        <w:t xml:space="preserve"> e negli ultimi 5 anni le </w:t>
      </w:r>
      <w:r w:rsidRPr="00000B1E">
        <w:rPr>
          <w:rFonts w:ascii="Arial" w:hAnsi="Arial" w:cs="Arial"/>
          <w:b/>
          <w:bCs/>
          <w:color w:val="000000"/>
          <w:sz w:val="22"/>
          <w:szCs w:val="22"/>
        </w:rPr>
        <w:t>società tra professionisti (STP)</w:t>
      </w:r>
      <w:r w:rsidRPr="00000B1E">
        <w:rPr>
          <w:rFonts w:ascii="Arial" w:hAnsi="Arial" w:cs="Arial"/>
          <w:bCs/>
          <w:color w:val="000000"/>
          <w:sz w:val="22"/>
          <w:szCs w:val="22"/>
        </w:rPr>
        <w:t xml:space="preserve"> sono cresciute del </w:t>
      </w:r>
      <w:r w:rsidRPr="00000B1E">
        <w:rPr>
          <w:rFonts w:ascii="Arial" w:hAnsi="Arial" w:cs="Arial"/>
          <w:b/>
          <w:bCs/>
          <w:color w:val="000000"/>
          <w:sz w:val="22"/>
          <w:szCs w:val="22"/>
        </w:rPr>
        <w:t>137,2% (27,4% all’anno)</w:t>
      </w:r>
      <w:r w:rsidRPr="00000B1E">
        <w:rPr>
          <w:rFonts w:ascii="Arial" w:hAnsi="Arial" w:cs="Arial"/>
          <w:color w:val="000000"/>
          <w:sz w:val="22"/>
          <w:szCs w:val="22"/>
        </w:rPr>
        <w:t xml:space="preserve">. Nella categoria emerge dunque </w:t>
      </w:r>
      <w:r w:rsidRPr="00000B1E">
        <w:rPr>
          <w:rFonts w:ascii="Arial" w:hAnsi="Arial" w:cs="Arial"/>
          <w:b/>
          <w:bCs/>
          <w:color w:val="000000"/>
          <w:sz w:val="22"/>
          <w:szCs w:val="22"/>
        </w:rPr>
        <w:t>una forte spinta all’aggregazione</w:t>
      </w:r>
      <w:r w:rsidRPr="00000B1E">
        <w:rPr>
          <w:rFonts w:ascii="Arial" w:hAnsi="Arial" w:cs="Arial"/>
          <w:color w:val="000000"/>
          <w:sz w:val="22"/>
          <w:szCs w:val="22"/>
        </w:rPr>
        <w:t xml:space="preserve">, alla quale non corrispondono però </w:t>
      </w:r>
      <w:r w:rsidRPr="00000B1E">
        <w:rPr>
          <w:rFonts w:ascii="Arial" w:hAnsi="Arial" w:cs="Arial"/>
          <w:b/>
          <w:bCs/>
          <w:color w:val="000000"/>
          <w:sz w:val="22"/>
          <w:szCs w:val="22"/>
        </w:rPr>
        <w:t>modelli adeguati</w:t>
      </w:r>
      <w:r w:rsidRPr="00000B1E">
        <w:rPr>
          <w:rFonts w:ascii="Arial" w:hAnsi="Arial" w:cs="Arial"/>
          <w:color w:val="000000"/>
          <w:sz w:val="22"/>
          <w:szCs w:val="22"/>
        </w:rPr>
        <w:t xml:space="preserve"> di organizzazione. Le aggregazioni professionali sono infatti mediamente </w:t>
      </w:r>
      <w:r w:rsidRPr="00000B1E">
        <w:rPr>
          <w:rFonts w:ascii="Arial" w:hAnsi="Arial" w:cs="Arial"/>
          <w:b/>
          <w:bCs/>
          <w:color w:val="000000"/>
          <w:sz w:val="22"/>
          <w:szCs w:val="22"/>
        </w:rPr>
        <w:t>molto piccole</w:t>
      </w:r>
      <w:r w:rsidRPr="00000B1E">
        <w:rPr>
          <w:rFonts w:ascii="Arial" w:hAnsi="Arial" w:cs="Arial"/>
          <w:color w:val="000000"/>
          <w:sz w:val="22"/>
          <w:szCs w:val="22"/>
        </w:rPr>
        <w:t xml:space="preserve"> e i commercialisti che esercitano la professione in una STP sono </w:t>
      </w:r>
      <w:r w:rsidRPr="00000B1E">
        <w:rPr>
          <w:rFonts w:ascii="Arial" w:hAnsi="Arial" w:cs="Arial"/>
          <w:b/>
          <w:bCs/>
          <w:color w:val="000000"/>
          <w:sz w:val="22"/>
          <w:szCs w:val="22"/>
        </w:rPr>
        <w:t>meno del 3% del totale degli iscritti</w:t>
      </w:r>
      <w:r w:rsidRPr="00000B1E">
        <w:rPr>
          <w:rFonts w:ascii="Arial" w:hAnsi="Arial" w:cs="Arial"/>
          <w:color w:val="000000"/>
          <w:sz w:val="22"/>
          <w:szCs w:val="22"/>
        </w:rPr>
        <w:t xml:space="preserve">, mentre solo il </w:t>
      </w:r>
      <w:r w:rsidRPr="00000B1E">
        <w:rPr>
          <w:rFonts w:ascii="Arial" w:hAnsi="Arial" w:cs="Arial"/>
          <w:b/>
          <w:bCs/>
          <w:color w:val="000000"/>
          <w:sz w:val="22"/>
          <w:szCs w:val="22"/>
        </w:rPr>
        <w:t>20% esercita in uno studio associato</w:t>
      </w:r>
      <w:r w:rsidRPr="00000B1E">
        <w:rPr>
          <w:rFonts w:ascii="Arial" w:hAnsi="Arial" w:cs="Arial"/>
          <w:color w:val="000000"/>
          <w:sz w:val="22"/>
          <w:szCs w:val="22"/>
        </w:rPr>
        <w:t xml:space="preserve">. Tra le forme di aggregazione, hanno un certo peso gli </w:t>
      </w:r>
      <w:r w:rsidRPr="00000B1E">
        <w:rPr>
          <w:rFonts w:ascii="Arial" w:hAnsi="Arial" w:cs="Arial"/>
          <w:b/>
          <w:bCs/>
          <w:color w:val="000000"/>
          <w:sz w:val="22"/>
          <w:szCs w:val="22"/>
        </w:rPr>
        <w:t>studi condivisi</w:t>
      </w:r>
      <w:r w:rsidRPr="00000B1E">
        <w:rPr>
          <w:rFonts w:ascii="Arial" w:hAnsi="Arial" w:cs="Arial"/>
          <w:color w:val="000000"/>
          <w:sz w:val="22"/>
          <w:szCs w:val="22"/>
        </w:rPr>
        <w:t xml:space="preserve"> e i commercialisti che esercitano in studi aggregati ma nella forma di </w:t>
      </w:r>
      <w:r w:rsidRPr="00000B1E">
        <w:rPr>
          <w:rFonts w:ascii="Arial" w:hAnsi="Arial" w:cs="Arial"/>
          <w:b/>
          <w:bCs/>
          <w:color w:val="000000"/>
          <w:sz w:val="22"/>
          <w:szCs w:val="22"/>
        </w:rPr>
        <w:t>collaboratore di studio</w:t>
      </w:r>
      <w:r w:rsidRPr="00000B1E">
        <w:rPr>
          <w:rFonts w:ascii="Arial" w:hAnsi="Arial" w:cs="Arial"/>
          <w:color w:val="000000"/>
          <w:sz w:val="22"/>
          <w:szCs w:val="22"/>
        </w:rPr>
        <w:t xml:space="preserve">. Nel caso degli </w:t>
      </w:r>
      <w:r w:rsidRPr="00000B1E">
        <w:rPr>
          <w:rFonts w:ascii="Arial" w:hAnsi="Arial" w:cs="Arial"/>
          <w:b/>
          <w:bCs/>
          <w:color w:val="000000"/>
          <w:sz w:val="22"/>
          <w:szCs w:val="22"/>
        </w:rPr>
        <w:t>studi associati</w:t>
      </w:r>
      <w:r w:rsidRPr="00000B1E">
        <w:rPr>
          <w:rFonts w:ascii="Arial" w:hAnsi="Arial" w:cs="Arial"/>
          <w:color w:val="000000"/>
          <w:sz w:val="22"/>
          <w:szCs w:val="22"/>
        </w:rPr>
        <w:t xml:space="preserve">, il numero dei soci non supera le </w:t>
      </w:r>
      <w:r w:rsidRPr="00000B1E">
        <w:rPr>
          <w:rFonts w:ascii="Arial" w:hAnsi="Arial" w:cs="Arial"/>
          <w:b/>
          <w:bCs/>
          <w:color w:val="000000"/>
          <w:sz w:val="22"/>
          <w:szCs w:val="22"/>
        </w:rPr>
        <w:t>2,5 unità</w:t>
      </w:r>
      <w:r w:rsidRPr="00000B1E">
        <w:rPr>
          <w:rFonts w:ascii="Arial" w:hAnsi="Arial" w:cs="Arial"/>
          <w:color w:val="000000"/>
          <w:sz w:val="22"/>
          <w:szCs w:val="22"/>
        </w:rPr>
        <w:t>.</w:t>
      </w:r>
    </w:p>
    <w:p w14:paraId="574FA5CF" w14:textId="77777777" w:rsidR="00000B1E" w:rsidRPr="00000B1E" w:rsidRDefault="00000B1E" w:rsidP="00000B1E">
      <w:pPr>
        <w:jc w:val="both"/>
        <w:rPr>
          <w:color w:val="000000"/>
          <w:sz w:val="22"/>
          <w:szCs w:val="22"/>
        </w:rPr>
      </w:pPr>
    </w:p>
    <w:p w14:paraId="2C533C06" w14:textId="77777777" w:rsidR="00000B1E" w:rsidRPr="00000B1E" w:rsidRDefault="00000B1E" w:rsidP="00000B1E">
      <w:pPr>
        <w:jc w:val="both"/>
        <w:rPr>
          <w:color w:val="000000"/>
          <w:sz w:val="22"/>
          <w:szCs w:val="22"/>
        </w:rPr>
      </w:pPr>
      <w:r w:rsidRPr="00000B1E">
        <w:rPr>
          <w:rFonts w:ascii="Arial" w:hAnsi="Arial" w:cs="Arial"/>
          <w:color w:val="000000"/>
          <w:sz w:val="22"/>
          <w:szCs w:val="22"/>
        </w:rPr>
        <w:t>Sono alcuni dei dati che emergono dalla ricerca della Fondazione nazionale della categoria “</w:t>
      </w:r>
      <w:r w:rsidRPr="00000B1E">
        <w:rPr>
          <w:rFonts w:ascii="Arial" w:hAnsi="Arial" w:cs="Arial"/>
          <w:b/>
          <w:bCs/>
          <w:color w:val="000000"/>
          <w:sz w:val="22"/>
          <w:szCs w:val="22"/>
        </w:rPr>
        <w:t>L’evoluzione della professione di Commercialista. Organizzazione e specializzazione professionale</w:t>
      </w:r>
      <w:r w:rsidRPr="00000B1E">
        <w:rPr>
          <w:rFonts w:ascii="Arial" w:hAnsi="Arial" w:cs="Arial"/>
          <w:color w:val="000000"/>
          <w:sz w:val="22"/>
          <w:szCs w:val="22"/>
        </w:rPr>
        <w:t>”. Lo studio presenta i dati e le analisi di alcune indagini statistiche svolte tra il 2018 e il 2021. In particolare, l’E-book presenta in dettaglio i dati dell’ultima indagine statistica nazionale condotta tra il 2018 e il 2019 offrendo una rappresentazione analitica dei risultati per macroarea territoriale, genere e classi di età. Inoltre, lo stesso E-book presenta i risultati dell’indagine statistica sul software utilizzato negli studi professionali ed un approfondimento dei dati sulle Società tra professionisti iscritte all’Albo dei dottori commercialisti e degli esperti contabili dal 2017 al 2021.  </w:t>
      </w:r>
    </w:p>
    <w:p w14:paraId="10326D60" w14:textId="77777777" w:rsidR="00000B1E" w:rsidRPr="00000B1E" w:rsidRDefault="00000B1E" w:rsidP="00000B1E">
      <w:pPr>
        <w:jc w:val="both"/>
        <w:rPr>
          <w:color w:val="000000"/>
          <w:sz w:val="22"/>
          <w:szCs w:val="22"/>
        </w:rPr>
      </w:pPr>
      <w:r w:rsidRPr="00000B1E">
        <w:rPr>
          <w:rFonts w:ascii="Arial" w:hAnsi="Arial" w:cs="Arial"/>
          <w:color w:val="000000"/>
          <w:sz w:val="22"/>
          <w:szCs w:val="22"/>
        </w:rPr>
        <w:t> </w:t>
      </w:r>
    </w:p>
    <w:p w14:paraId="799AC261" w14:textId="77777777" w:rsidR="00000B1E" w:rsidRPr="00000B1E" w:rsidRDefault="00000B1E" w:rsidP="00000B1E">
      <w:pPr>
        <w:jc w:val="both"/>
        <w:rPr>
          <w:color w:val="000000"/>
          <w:sz w:val="22"/>
          <w:szCs w:val="22"/>
        </w:rPr>
      </w:pPr>
      <w:r w:rsidRPr="00000B1E">
        <w:rPr>
          <w:rFonts w:ascii="Arial" w:hAnsi="Arial" w:cs="Arial"/>
          <w:color w:val="000000"/>
          <w:sz w:val="22"/>
          <w:szCs w:val="22"/>
        </w:rPr>
        <w:t xml:space="preserve">Un focus particolare della ricerca è dedicato poi al tema della </w:t>
      </w:r>
      <w:r w:rsidRPr="00000B1E">
        <w:rPr>
          <w:rFonts w:ascii="Arial" w:hAnsi="Arial" w:cs="Arial"/>
          <w:b/>
          <w:bCs/>
          <w:color w:val="000000"/>
          <w:sz w:val="22"/>
          <w:szCs w:val="22"/>
        </w:rPr>
        <w:t>specializzazione professionale</w:t>
      </w:r>
      <w:r w:rsidRPr="00000B1E">
        <w:rPr>
          <w:rFonts w:ascii="Arial" w:hAnsi="Arial" w:cs="Arial"/>
          <w:color w:val="000000"/>
          <w:sz w:val="22"/>
          <w:szCs w:val="22"/>
        </w:rPr>
        <w:t xml:space="preserve"> del commercialista e dello studio professionale. La ricerca mostra come, accanto agli studi professionali che svolgono in prevalenza </w:t>
      </w:r>
      <w:r w:rsidRPr="00000B1E">
        <w:rPr>
          <w:rFonts w:ascii="Arial" w:hAnsi="Arial" w:cs="Arial"/>
          <w:b/>
          <w:bCs/>
          <w:color w:val="000000"/>
          <w:sz w:val="22"/>
          <w:szCs w:val="22"/>
        </w:rPr>
        <w:t>assistenza contabile e fiscale</w:t>
      </w:r>
      <w:r w:rsidRPr="00000B1E">
        <w:rPr>
          <w:rFonts w:ascii="Arial" w:hAnsi="Arial" w:cs="Arial"/>
          <w:color w:val="000000"/>
          <w:sz w:val="22"/>
          <w:szCs w:val="22"/>
        </w:rPr>
        <w:t xml:space="preserve">, che secondo l’indagine non superano il </w:t>
      </w:r>
      <w:r w:rsidRPr="00000B1E">
        <w:rPr>
          <w:rFonts w:ascii="Arial" w:hAnsi="Arial" w:cs="Arial"/>
          <w:b/>
          <w:bCs/>
          <w:color w:val="000000"/>
          <w:sz w:val="22"/>
          <w:szCs w:val="22"/>
        </w:rPr>
        <w:t>31% del totale</w:t>
      </w:r>
      <w:r w:rsidRPr="00000B1E">
        <w:rPr>
          <w:rFonts w:ascii="Arial" w:hAnsi="Arial" w:cs="Arial"/>
          <w:color w:val="000000"/>
          <w:sz w:val="22"/>
          <w:szCs w:val="22"/>
        </w:rPr>
        <w:t xml:space="preserve">, esiste una significativa quota di studi, pari a </w:t>
      </w:r>
      <w:r w:rsidRPr="00000B1E">
        <w:rPr>
          <w:rFonts w:ascii="Arial" w:hAnsi="Arial" w:cs="Arial"/>
          <w:b/>
          <w:bCs/>
          <w:color w:val="000000"/>
          <w:sz w:val="22"/>
          <w:szCs w:val="22"/>
        </w:rPr>
        <w:t>quasi il 57%,</w:t>
      </w:r>
      <w:r w:rsidRPr="00000B1E">
        <w:rPr>
          <w:rFonts w:ascii="Arial" w:hAnsi="Arial" w:cs="Arial"/>
          <w:color w:val="000000"/>
          <w:sz w:val="22"/>
          <w:szCs w:val="22"/>
        </w:rPr>
        <w:t xml:space="preserve"> che svolge contestualmente anche </w:t>
      </w:r>
      <w:r w:rsidRPr="00000B1E">
        <w:rPr>
          <w:rFonts w:ascii="Arial" w:hAnsi="Arial" w:cs="Arial"/>
          <w:b/>
          <w:bCs/>
          <w:color w:val="000000"/>
          <w:sz w:val="22"/>
          <w:szCs w:val="22"/>
        </w:rPr>
        <w:t>un’attività specialistica</w:t>
      </w:r>
      <w:r w:rsidRPr="00000B1E">
        <w:rPr>
          <w:rFonts w:ascii="Arial" w:hAnsi="Arial" w:cs="Arial"/>
          <w:color w:val="000000"/>
          <w:sz w:val="22"/>
          <w:szCs w:val="22"/>
        </w:rPr>
        <w:t xml:space="preserve">, e una quota importante, pari al </w:t>
      </w:r>
      <w:r w:rsidRPr="00000B1E">
        <w:rPr>
          <w:rFonts w:ascii="Arial" w:hAnsi="Arial" w:cs="Arial"/>
          <w:b/>
          <w:bCs/>
          <w:color w:val="000000"/>
          <w:sz w:val="22"/>
          <w:szCs w:val="22"/>
        </w:rPr>
        <w:t>12%</w:t>
      </w:r>
      <w:r w:rsidRPr="00000B1E">
        <w:rPr>
          <w:rFonts w:ascii="Arial" w:hAnsi="Arial" w:cs="Arial"/>
          <w:color w:val="000000"/>
          <w:sz w:val="22"/>
          <w:szCs w:val="22"/>
        </w:rPr>
        <w:t xml:space="preserve">, di studi che dipende poco o per niente dall’assistenza contabile e fiscale e svolge </w:t>
      </w:r>
      <w:r w:rsidRPr="00000B1E">
        <w:rPr>
          <w:rFonts w:ascii="Arial" w:hAnsi="Arial" w:cs="Arial"/>
          <w:b/>
          <w:bCs/>
          <w:color w:val="000000"/>
          <w:sz w:val="22"/>
          <w:szCs w:val="22"/>
        </w:rPr>
        <w:t>prevalentemente attività specialistiche</w:t>
      </w:r>
      <w:r w:rsidRPr="00000B1E">
        <w:rPr>
          <w:rFonts w:ascii="Arial" w:hAnsi="Arial" w:cs="Arial"/>
          <w:color w:val="000000"/>
          <w:sz w:val="22"/>
          <w:szCs w:val="22"/>
        </w:rPr>
        <w:t xml:space="preserve"> La prevalenza di studi che affiancano l’attività specialistica a quella di assistenza contabile e fiscale è omogena sia sul piano territoriale, che di genere ed età.  </w:t>
      </w:r>
    </w:p>
    <w:p w14:paraId="41200085" w14:textId="77777777" w:rsidR="00000B1E" w:rsidRPr="00000B1E" w:rsidRDefault="00000B1E" w:rsidP="00000B1E">
      <w:pPr>
        <w:jc w:val="both"/>
        <w:rPr>
          <w:color w:val="000000"/>
          <w:sz w:val="22"/>
          <w:szCs w:val="22"/>
        </w:rPr>
      </w:pPr>
      <w:r w:rsidRPr="00000B1E">
        <w:rPr>
          <w:rFonts w:ascii="Arial" w:hAnsi="Arial" w:cs="Arial"/>
          <w:color w:val="000000"/>
          <w:sz w:val="22"/>
          <w:szCs w:val="22"/>
        </w:rPr>
        <w:t> </w:t>
      </w:r>
    </w:p>
    <w:p w14:paraId="03C0BCC5" w14:textId="77777777" w:rsidR="00000B1E" w:rsidRPr="00000B1E" w:rsidRDefault="00000B1E" w:rsidP="00000B1E">
      <w:pPr>
        <w:jc w:val="both"/>
        <w:rPr>
          <w:color w:val="000000"/>
          <w:sz w:val="22"/>
          <w:szCs w:val="22"/>
        </w:rPr>
      </w:pPr>
      <w:r w:rsidRPr="00000B1E">
        <w:rPr>
          <w:rFonts w:ascii="Arial" w:hAnsi="Arial" w:cs="Arial"/>
          <w:iCs/>
          <w:color w:val="000000"/>
          <w:sz w:val="22"/>
          <w:szCs w:val="22"/>
        </w:rPr>
        <w:t xml:space="preserve">“Questa ricerca – afferma il presidente del Consiglio nazionale dei commercialisti, </w:t>
      </w:r>
      <w:r w:rsidRPr="00000B1E">
        <w:rPr>
          <w:rFonts w:ascii="Arial" w:hAnsi="Arial" w:cs="Arial"/>
          <w:b/>
          <w:bCs/>
          <w:iCs/>
          <w:color w:val="000000"/>
          <w:sz w:val="22"/>
          <w:szCs w:val="22"/>
        </w:rPr>
        <w:t>Elbano de Nuccio</w:t>
      </w:r>
      <w:r w:rsidRPr="00000B1E">
        <w:rPr>
          <w:rFonts w:ascii="Arial" w:hAnsi="Arial" w:cs="Arial"/>
          <w:iCs/>
          <w:color w:val="000000"/>
          <w:sz w:val="22"/>
          <w:szCs w:val="22"/>
        </w:rPr>
        <w:t xml:space="preserve"> - dimostra che il commercialista che svolge solo adempimenti contabili e fiscali in realtà non esiste. I dati mostrano chiaramente come a quelle contabili e fiscali, i commercialisti affianchino ormai da tempo anche altre competenze, con una spiccata tendenza alla specializzazione. Esiste ancora, però, una quota significativa di studi che svolgono in prevalenza attività di base. Si tratta di attività che vanno </w:t>
      </w:r>
      <w:r w:rsidRPr="00000B1E">
        <w:rPr>
          <w:rFonts w:ascii="Arial" w:hAnsi="Arial" w:cs="Arial"/>
          <w:b/>
          <w:bCs/>
          <w:iCs/>
          <w:color w:val="000000"/>
          <w:sz w:val="22"/>
          <w:szCs w:val="22"/>
        </w:rPr>
        <w:t>comunque promosse</w:t>
      </w:r>
      <w:r w:rsidRPr="00000B1E">
        <w:rPr>
          <w:rFonts w:ascii="Arial" w:hAnsi="Arial" w:cs="Arial"/>
          <w:iCs/>
          <w:color w:val="000000"/>
          <w:sz w:val="22"/>
          <w:szCs w:val="22"/>
        </w:rPr>
        <w:t xml:space="preserve">, facilitando gli </w:t>
      </w:r>
      <w:r w:rsidRPr="00000B1E">
        <w:rPr>
          <w:rFonts w:ascii="Arial" w:hAnsi="Arial" w:cs="Arial"/>
          <w:b/>
          <w:bCs/>
          <w:iCs/>
          <w:color w:val="000000"/>
          <w:sz w:val="22"/>
          <w:szCs w:val="22"/>
        </w:rPr>
        <w:t>investimenti</w:t>
      </w:r>
      <w:r w:rsidRPr="00000B1E">
        <w:rPr>
          <w:rFonts w:ascii="Arial" w:hAnsi="Arial" w:cs="Arial"/>
          <w:iCs/>
          <w:color w:val="000000"/>
          <w:sz w:val="22"/>
          <w:szCs w:val="22"/>
        </w:rPr>
        <w:t xml:space="preserve"> necessari alla </w:t>
      </w:r>
      <w:r w:rsidRPr="00000B1E">
        <w:rPr>
          <w:rFonts w:ascii="Arial" w:hAnsi="Arial" w:cs="Arial"/>
          <w:b/>
          <w:bCs/>
          <w:iCs/>
          <w:color w:val="000000"/>
          <w:sz w:val="22"/>
          <w:szCs w:val="22"/>
        </w:rPr>
        <w:t>migliore organizzazione</w:t>
      </w:r>
      <w:r w:rsidRPr="00000B1E">
        <w:rPr>
          <w:rFonts w:ascii="Arial" w:hAnsi="Arial" w:cs="Arial"/>
          <w:iCs/>
          <w:color w:val="000000"/>
          <w:sz w:val="22"/>
          <w:szCs w:val="22"/>
        </w:rPr>
        <w:t xml:space="preserve"> dell’attività professionale e impegnandosi a </w:t>
      </w:r>
      <w:r w:rsidRPr="00000B1E">
        <w:rPr>
          <w:rFonts w:ascii="Arial" w:hAnsi="Arial" w:cs="Arial"/>
          <w:b/>
          <w:bCs/>
          <w:iCs/>
          <w:color w:val="000000"/>
          <w:sz w:val="22"/>
          <w:szCs w:val="22"/>
        </w:rPr>
        <w:t xml:space="preserve">semplificare il quadro normativo </w:t>
      </w:r>
      <w:r w:rsidRPr="00000B1E">
        <w:rPr>
          <w:rFonts w:ascii="Arial" w:hAnsi="Arial" w:cs="Arial"/>
          <w:iCs/>
          <w:color w:val="000000"/>
          <w:sz w:val="22"/>
          <w:szCs w:val="22"/>
        </w:rPr>
        <w:t>e migliorare i rapporti tra professionisti e amministrazione finanziaria”.  </w:t>
      </w:r>
    </w:p>
    <w:p w14:paraId="14168BDD" w14:textId="77777777" w:rsidR="00000B1E" w:rsidRPr="00000B1E" w:rsidRDefault="00000B1E" w:rsidP="00000B1E">
      <w:pPr>
        <w:jc w:val="both"/>
        <w:rPr>
          <w:color w:val="000000"/>
          <w:sz w:val="22"/>
          <w:szCs w:val="22"/>
        </w:rPr>
      </w:pPr>
      <w:r w:rsidRPr="00000B1E">
        <w:rPr>
          <w:rFonts w:ascii="Arial" w:hAnsi="Arial" w:cs="Arial"/>
          <w:iCs/>
          <w:color w:val="000000"/>
          <w:sz w:val="22"/>
          <w:szCs w:val="22"/>
        </w:rPr>
        <w:t> </w:t>
      </w:r>
      <w:r w:rsidRPr="00000B1E">
        <w:rPr>
          <w:rFonts w:ascii="Arial" w:hAnsi="Arial" w:cs="Arial"/>
          <w:color w:val="000000"/>
          <w:sz w:val="22"/>
          <w:szCs w:val="22"/>
        </w:rPr>
        <w:t> </w:t>
      </w:r>
    </w:p>
    <w:p w14:paraId="40005CE6" w14:textId="77777777" w:rsidR="00000B1E" w:rsidRPr="00000B1E" w:rsidRDefault="00000B1E" w:rsidP="00000B1E">
      <w:pPr>
        <w:jc w:val="both"/>
        <w:rPr>
          <w:color w:val="000000"/>
          <w:sz w:val="22"/>
          <w:szCs w:val="22"/>
        </w:rPr>
      </w:pPr>
      <w:r w:rsidRPr="00000B1E">
        <w:rPr>
          <w:rFonts w:ascii="Arial" w:hAnsi="Arial" w:cs="Arial"/>
          <w:iCs/>
          <w:color w:val="000000"/>
          <w:sz w:val="22"/>
          <w:szCs w:val="22"/>
        </w:rPr>
        <w:t xml:space="preserve">Secondo de Nuccio, inoltre, “questa ricerca dimostra chiaramente come la professione necessiti di </w:t>
      </w:r>
      <w:r w:rsidRPr="00000B1E">
        <w:rPr>
          <w:rFonts w:ascii="Arial" w:hAnsi="Arial" w:cs="Arial"/>
          <w:b/>
          <w:bCs/>
          <w:iCs/>
          <w:color w:val="000000"/>
          <w:sz w:val="22"/>
          <w:szCs w:val="22"/>
        </w:rPr>
        <w:t xml:space="preserve">interventi urgenti </w:t>
      </w:r>
      <w:r w:rsidRPr="00000B1E">
        <w:rPr>
          <w:rFonts w:ascii="Arial" w:hAnsi="Arial" w:cs="Arial"/>
          <w:iCs/>
          <w:color w:val="000000"/>
          <w:sz w:val="22"/>
          <w:szCs w:val="22"/>
        </w:rPr>
        <w:t xml:space="preserve">che facilitino le </w:t>
      </w:r>
      <w:r w:rsidRPr="00000B1E">
        <w:rPr>
          <w:rFonts w:ascii="Arial" w:hAnsi="Arial" w:cs="Arial"/>
          <w:b/>
          <w:bCs/>
          <w:iCs/>
          <w:color w:val="000000"/>
          <w:sz w:val="22"/>
          <w:szCs w:val="22"/>
        </w:rPr>
        <w:t>aggregazioni professionali</w:t>
      </w:r>
      <w:r w:rsidRPr="00000B1E">
        <w:rPr>
          <w:rFonts w:ascii="Arial" w:hAnsi="Arial" w:cs="Arial"/>
          <w:iCs/>
          <w:color w:val="000000"/>
          <w:sz w:val="22"/>
          <w:szCs w:val="22"/>
        </w:rPr>
        <w:t xml:space="preserve"> e il riconoscimento delle </w:t>
      </w:r>
      <w:r w:rsidRPr="00000B1E">
        <w:rPr>
          <w:rFonts w:ascii="Arial" w:hAnsi="Arial" w:cs="Arial"/>
          <w:b/>
          <w:bCs/>
          <w:iCs/>
          <w:color w:val="000000"/>
          <w:sz w:val="22"/>
          <w:szCs w:val="22"/>
        </w:rPr>
        <w:t>specializzazioni</w:t>
      </w:r>
      <w:r w:rsidRPr="00000B1E">
        <w:rPr>
          <w:rFonts w:ascii="Arial" w:hAnsi="Arial" w:cs="Arial"/>
          <w:iCs/>
          <w:color w:val="000000"/>
          <w:sz w:val="22"/>
          <w:szCs w:val="22"/>
        </w:rPr>
        <w:t xml:space="preserve">. In tema di Società tra professionisti è urgente intervenire per risolvere alcune problematiche fiscali che da tempo poniamo all’attenzione del legislatore, a cominciare dalla </w:t>
      </w:r>
      <w:r w:rsidRPr="00000B1E">
        <w:rPr>
          <w:rFonts w:ascii="Arial" w:hAnsi="Arial" w:cs="Arial"/>
          <w:iCs/>
          <w:color w:val="000000"/>
          <w:sz w:val="22"/>
          <w:szCs w:val="22"/>
        </w:rPr>
        <w:lastRenderedPageBreak/>
        <w:t>neutralità del regime fiscale relativo ai conferimenti in caso di operazioni straordinarie tra studi professionali. Sulle specializzazioni, siamo determinati nel chiederne il riconoscimento sulla base di un nuovo progetto che intende rilanciare le nostre Scuole di alta formazione, collegandole in maniera più stretta alla formazione universitaria”. </w:t>
      </w:r>
    </w:p>
    <w:p w14:paraId="1BB1AB03" w14:textId="77777777" w:rsidR="00C32042" w:rsidRPr="00000B1E" w:rsidRDefault="00C32042" w:rsidP="00F5014E">
      <w:pPr>
        <w:jc w:val="both"/>
        <w:rPr>
          <w:rFonts w:ascii="Arial" w:hAnsi="Arial" w:cs="Arial"/>
          <w:sz w:val="22"/>
          <w:szCs w:val="22"/>
        </w:rPr>
      </w:pPr>
    </w:p>
    <w:p w14:paraId="453C3EBD" w14:textId="333FC562" w:rsidR="0071223C" w:rsidRPr="00000B1E" w:rsidRDefault="0071223C" w:rsidP="00A00101">
      <w:pPr>
        <w:pStyle w:val="NormaleWeb"/>
        <w:spacing w:before="0" w:beforeAutospacing="0" w:after="0" w:afterAutospacing="0"/>
        <w:jc w:val="both"/>
        <w:rPr>
          <w:rFonts w:ascii="Arial" w:hAnsi="Arial" w:cs="Arial"/>
          <w:sz w:val="22"/>
          <w:szCs w:val="22"/>
        </w:rPr>
      </w:pPr>
    </w:p>
    <w:p w14:paraId="45AC1BDE" w14:textId="73E0E993" w:rsidR="003D617D" w:rsidRPr="00000B1E" w:rsidRDefault="00F5014E" w:rsidP="00AE2556">
      <w:pPr>
        <w:jc w:val="both"/>
        <w:rPr>
          <w:rFonts w:ascii="Arial" w:eastAsia="Times New Roman" w:hAnsi="Arial" w:cs="Arial"/>
          <w:sz w:val="22"/>
          <w:szCs w:val="22"/>
          <w:lang w:eastAsia="it-IT"/>
        </w:rPr>
      </w:pPr>
      <w:r w:rsidRPr="00000B1E">
        <w:rPr>
          <w:rFonts w:ascii="Arial" w:eastAsia="Times New Roman" w:hAnsi="Arial" w:cs="Arial"/>
          <w:sz w:val="22"/>
          <w:szCs w:val="22"/>
          <w:lang w:eastAsia="it-IT"/>
        </w:rPr>
        <w:t>---</w:t>
      </w:r>
      <w:r w:rsidR="003D617D" w:rsidRPr="00000B1E">
        <w:rPr>
          <w:rFonts w:ascii="Arial" w:eastAsia="Times New Roman" w:hAnsi="Arial" w:cs="Arial"/>
          <w:sz w:val="22"/>
          <w:szCs w:val="22"/>
          <w:lang w:eastAsia="it-IT"/>
        </w:rPr>
        <w:t>--</w:t>
      </w:r>
    </w:p>
    <w:p w14:paraId="51B092C2" w14:textId="77777777" w:rsidR="003D617D" w:rsidRPr="00000B1E" w:rsidRDefault="003D617D" w:rsidP="003D617D">
      <w:pPr>
        <w:rPr>
          <w:rFonts w:ascii="Arial" w:hAnsi="Arial" w:cs="Arial"/>
          <w:b/>
          <w:sz w:val="22"/>
          <w:szCs w:val="22"/>
        </w:rPr>
      </w:pPr>
      <w:r w:rsidRPr="00000B1E">
        <w:rPr>
          <w:rFonts w:ascii="Arial" w:hAnsi="Arial" w:cs="Arial"/>
          <w:b/>
          <w:sz w:val="22"/>
          <w:szCs w:val="22"/>
        </w:rPr>
        <w:t>Ufficio stampa Consiglio nazionale dei commercialisti</w:t>
      </w:r>
    </w:p>
    <w:p w14:paraId="7DFAF03E" w14:textId="2E2D3807" w:rsidR="003D617D" w:rsidRPr="00000B1E" w:rsidRDefault="00A00101" w:rsidP="003D617D">
      <w:pPr>
        <w:rPr>
          <w:rFonts w:ascii="Arial" w:hAnsi="Arial" w:cs="Arial"/>
          <w:sz w:val="22"/>
          <w:szCs w:val="22"/>
        </w:rPr>
      </w:pPr>
      <w:r w:rsidRPr="00000B1E">
        <w:rPr>
          <w:rFonts w:ascii="Arial" w:hAnsi="Arial" w:cs="Arial"/>
          <w:sz w:val="22"/>
          <w:szCs w:val="22"/>
        </w:rPr>
        <w:t>Mauro Parracino</w:t>
      </w:r>
    </w:p>
    <w:p w14:paraId="1EDF7D93" w14:textId="0111AAAA" w:rsidR="003D617D" w:rsidRPr="00000B1E" w:rsidRDefault="00A00101" w:rsidP="003D617D">
      <w:pPr>
        <w:rPr>
          <w:rFonts w:ascii="Arial" w:hAnsi="Arial" w:cs="Arial"/>
          <w:sz w:val="22"/>
          <w:szCs w:val="22"/>
        </w:rPr>
      </w:pPr>
      <w:r w:rsidRPr="00000B1E">
        <w:rPr>
          <w:rFonts w:ascii="Arial" w:hAnsi="Arial" w:cs="Arial"/>
          <w:sz w:val="22"/>
          <w:szCs w:val="22"/>
        </w:rPr>
        <w:t>parracino</w:t>
      </w:r>
      <w:r w:rsidR="003D617D" w:rsidRPr="00000B1E">
        <w:rPr>
          <w:rFonts w:ascii="Arial" w:hAnsi="Arial" w:cs="Arial"/>
          <w:sz w:val="22"/>
          <w:szCs w:val="22"/>
        </w:rPr>
        <w:t>@commercialisti.it</w:t>
      </w:r>
    </w:p>
    <w:p w14:paraId="088F078B" w14:textId="526F49B7" w:rsidR="00F5014E" w:rsidRPr="00000B1E" w:rsidRDefault="00F5014E" w:rsidP="003D617D">
      <w:pPr>
        <w:pStyle w:val="Firmadipostaelettronica"/>
        <w:rPr>
          <w:rFonts w:ascii="Arial" w:hAnsi="Arial" w:cs="Arial"/>
        </w:rPr>
      </w:pPr>
      <w:r w:rsidRPr="00000B1E">
        <w:rPr>
          <w:rFonts w:ascii="Arial" w:hAnsi="Arial" w:cs="Arial"/>
        </w:rPr>
        <w:t>334.3837514</w:t>
      </w:r>
    </w:p>
    <w:sectPr w:rsidR="00F5014E" w:rsidRPr="00000B1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31F7" w14:textId="77777777" w:rsidR="0042779C" w:rsidRDefault="0042779C" w:rsidP="00627996">
      <w:r>
        <w:separator/>
      </w:r>
    </w:p>
  </w:endnote>
  <w:endnote w:type="continuationSeparator" w:id="0">
    <w:p w14:paraId="44D56B75" w14:textId="77777777" w:rsidR="0042779C" w:rsidRDefault="0042779C"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5700" w14:textId="77777777" w:rsidR="0042779C" w:rsidRDefault="0042779C" w:rsidP="00627996">
      <w:r>
        <w:separator/>
      </w:r>
    </w:p>
  </w:footnote>
  <w:footnote w:type="continuationSeparator" w:id="0">
    <w:p w14:paraId="3C2B28CB" w14:textId="77777777" w:rsidR="0042779C" w:rsidRDefault="0042779C"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51BBA00C" w:rsidR="00627996" w:rsidRDefault="00000B1E" w:rsidP="00000B1E">
    <w:pPr>
      <w:pStyle w:val="Intestazione"/>
      <w:jc w:val="center"/>
    </w:pPr>
    <w:r>
      <w:rPr>
        <w:noProof/>
        <w:lang w:eastAsia="it-IT"/>
      </w:rPr>
      <w:drawing>
        <wp:inline distT="0" distB="0" distL="0" distR="0" wp14:anchorId="25F7D5DC" wp14:editId="2FD4292C">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00B1E"/>
    <w:rsid w:val="00065EFA"/>
    <w:rsid w:val="000F2092"/>
    <w:rsid w:val="00103A6A"/>
    <w:rsid w:val="0012750F"/>
    <w:rsid w:val="001777C2"/>
    <w:rsid w:val="00184319"/>
    <w:rsid w:val="001B3759"/>
    <w:rsid w:val="001C217E"/>
    <w:rsid w:val="001C3CCF"/>
    <w:rsid w:val="001D0C92"/>
    <w:rsid w:val="00206248"/>
    <w:rsid w:val="00210D0F"/>
    <w:rsid w:val="00237BEE"/>
    <w:rsid w:val="002B1170"/>
    <w:rsid w:val="002B1507"/>
    <w:rsid w:val="002E31F2"/>
    <w:rsid w:val="003248FA"/>
    <w:rsid w:val="003367D1"/>
    <w:rsid w:val="00365A9B"/>
    <w:rsid w:val="003C2FC0"/>
    <w:rsid w:val="003D617D"/>
    <w:rsid w:val="003E0594"/>
    <w:rsid w:val="0042779C"/>
    <w:rsid w:val="00433438"/>
    <w:rsid w:val="004E7923"/>
    <w:rsid w:val="00595991"/>
    <w:rsid w:val="00612609"/>
    <w:rsid w:val="00627996"/>
    <w:rsid w:val="00656CC5"/>
    <w:rsid w:val="00667303"/>
    <w:rsid w:val="0071223C"/>
    <w:rsid w:val="00734687"/>
    <w:rsid w:val="00787DC5"/>
    <w:rsid w:val="008D2C7A"/>
    <w:rsid w:val="00986D90"/>
    <w:rsid w:val="009A3D78"/>
    <w:rsid w:val="009D1104"/>
    <w:rsid w:val="009F27EC"/>
    <w:rsid w:val="00A00101"/>
    <w:rsid w:val="00A4044C"/>
    <w:rsid w:val="00AC6BB0"/>
    <w:rsid w:val="00AE2556"/>
    <w:rsid w:val="00BD4233"/>
    <w:rsid w:val="00C32042"/>
    <w:rsid w:val="00C95C0A"/>
    <w:rsid w:val="00CB75EA"/>
    <w:rsid w:val="00CD5A5F"/>
    <w:rsid w:val="00CE681E"/>
    <w:rsid w:val="00CF0355"/>
    <w:rsid w:val="00D0285A"/>
    <w:rsid w:val="00D41E98"/>
    <w:rsid w:val="00DB4B99"/>
    <w:rsid w:val="00E00239"/>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446">
      <w:bodyDiv w:val="1"/>
      <w:marLeft w:val="0"/>
      <w:marRight w:val="0"/>
      <w:marTop w:val="0"/>
      <w:marBottom w:val="0"/>
      <w:divBdr>
        <w:top w:val="none" w:sz="0" w:space="0" w:color="auto"/>
        <w:left w:val="none" w:sz="0" w:space="0" w:color="auto"/>
        <w:bottom w:val="none" w:sz="0" w:space="0" w:color="auto"/>
        <w:right w:val="none" w:sz="0" w:space="0" w:color="auto"/>
      </w:divBdr>
    </w:div>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9</cp:revision>
  <dcterms:created xsi:type="dcterms:W3CDTF">2022-05-31T13:32:00Z</dcterms:created>
  <dcterms:modified xsi:type="dcterms:W3CDTF">2022-08-22T07:19:00Z</dcterms:modified>
</cp:coreProperties>
</file>