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4" w:rsidRDefault="009D1104" w:rsidP="009D1104">
      <w:pPr>
        <w:pStyle w:val="NormaleWeb"/>
        <w:spacing w:before="0" w:beforeAutospacing="0" w:after="0" w:afterAutospacing="0"/>
        <w:jc w:val="both"/>
        <w:rPr>
          <w:rFonts w:ascii="Arial" w:hAnsi="Arial" w:cs="Arial"/>
        </w:rPr>
      </w:pPr>
    </w:p>
    <w:p w:rsidR="00232656" w:rsidRPr="007574AF" w:rsidRDefault="00232656" w:rsidP="00232656">
      <w:pPr>
        <w:pStyle w:val="xmsonormal"/>
        <w:shd w:val="clear" w:color="auto" w:fill="FFFFFF"/>
        <w:spacing w:before="0" w:beforeAutospacing="0" w:after="0" w:afterAutospacing="0" w:line="233" w:lineRule="atLeast"/>
        <w:jc w:val="both"/>
        <w:rPr>
          <w:rFonts w:ascii="Arial" w:hAnsi="Arial" w:cs="Arial"/>
          <w:color w:val="201F1E"/>
          <w:sz w:val="22"/>
          <w:szCs w:val="22"/>
        </w:rPr>
      </w:pPr>
      <w:r w:rsidRPr="007574AF">
        <w:rPr>
          <w:rFonts w:ascii="Arial" w:hAnsi="Arial" w:cs="Arial"/>
          <w:color w:val="201F1E"/>
          <w:sz w:val="28"/>
          <w:szCs w:val="28"/>
          <w:bdr w:val="none" w:sz="0" w:space="0" w:color="auto" w:frame="1"/>
        </w:rPr>
        <w:t>Comunicato Stampa</w:t>
      </w:r>
    </w:p>
    <w:p w:rsidR="00232656" w:rsidRDefault="00232656" w:rsidP="00232656">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color w:val="201F1E"/>
          <w:sz w:val="28"/>
          <w:szCs w:val="28"/>
          <w:bdr w:val="none" w:sz="0" w:space="0" w:color="auto" w:frame="1"/>
        </w:rPr>
        <w:t> </w:t>
      </w:r>
    </w:p>
    <w:p w:rsidR="00232656" w:rsidRDefault="00232656" w:rsidP="00232656">
      <w:pPr>
        <w:pStyle w:val="xmsonormal"/>
        <w:shd w:val="clear" w:color="auto" w:fill="FFFFFF"/>
        <w:spacing w:before="0" w:beforeAutospacing="0" w:after="0" w:afterAutospacing="0" w:line="233" w:lineRule="atLeast"/>
        <w:jc w:val="both"/>
        <w:rPr>
          <w:rFonts w:ascii="Arial" w:hAnsi="Arial" w:cs="Arial"/>
          <w:b/>
          <w:bCs/>
          <w:color w:val="201F1E"/>
          <w:sz w:val="28"/>
          <w:szCs w:val="28"/>
          <w:bdr w:val="none" w:sz="0" w:space="0" w:color="auto" w:frame="1"/>
        </w:rPr>
      </w:pPr>
      <w:r w:rsidRPr="00232656">
        <w:rPr>
          <w:rFonts w:ascii="Arial" w:hAnsi="Arial" w:cs="Arial"/>
          <w:b/>
          <w:bCs/>
          <w:color w:val="201F1E"/>
          <w:sz w:val="28"/>
          <w:szCs w:val="28"/>
          <w:bdr w:val="none" w:sz="0" w:space="0" w:color="auto" w:frame="1"/>
        </w:rPr>
        <w:t>I dati emergono dall’Osservatorio del Consiglio e della Fondazione Nazionale dei Commercialisti</w:t>
      </w:r>
    </w:p>
    <w:p w:rsidR="00232656" w:rsidRP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sz w:val="22"/>
          <w:szCs w:val="22"/>
        </w:rPr>
      </w:pPr>
    </w:p>
    <w:p w:rsidR="00232656" w:rsidRDefault="00232656" w:rsidP="00232656">
      <w:pPr>
        <w:pStyle w:val="xmsonormal"/>
        <w:shd w:val="clear" w:color="auto" w:fill="FFFFFF"/>
        <w:spacing w:before="0" w:beforeAutospacing="0" w:after="0" w:afterAutospacing="0" w:line="233" w:lineRule="atLeast"/>
        <w:jc w:val="both"/>
        <w:rPr>
          <w:rFonts w:ascii="Arial" w:hAnsi="Arial" w:cs="Arial"/>
          <w:b/>
          <w:bCs/>
          <w:color w:val="201F1E"/>
          <w:sz w:val="28"/>
          <w:szCs w:val="28"/>
          <w:bdr w:val="none" w:sz="0" w:space="0" w:color="auto" w:frame="1"/>
        </w:rPr>
      </w:pPr>
      <w:r w:rsidRPr="00232656">
        <w:rPr>
          <w:rFonts w:ascii="Arial" w:hAnsi="Arial" w:cs="Arial"/>
          <w:b/>
          <w:bCs/>
          <w:color w:val="201F1E"/>
          <w:sz w:val="28"/>
          <w:szCs w:val="28"/>
          <w:bdr w:val="none" w:sz="0" w:space="0" w:color="auto" w:frame="1"/>
        </w:rPr>
        <w:t>I LIBERI PROFESSIONISTI I PIU’ COLPITI DALLA CRISI ECONOMICA: IN DODICI ANNI HANNO PERSO OLTRE 13MILA EURO PER OCCUPATO</w:t>
      </w:r>
    </w:p>
    <w:p w:rsidR="00232656" w:rsidRP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sz w:val="22"/>
          <w:szCs w:val="22"/>
        </w:rPr>
      </w:pPr>
    </w:p>
    <w:p w:rsidR="00232656" w:rsidRP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sz w:val="22"/>
          <w:szCs w:val="22"/>
        </w:rPr>
      </w:pPr>
      <w:r w:rsidRPr="00232656">
        <w:rPr>
          <w:rFonts w:ascii="Arial" w:hAnsi="Arial" w:cs="Arial"/>
          <w:b/>
          <w:bCs/>
          <w:color w:val="201F1E"/>
          <w:sz w:val="28"/>
          <w:szCs w:val="28"/>
          <w:bdr w:val="none" w:sz="0" w:space="0" w:color="auto" w:frame="1"/>
        </w:rPr>
        <w:t>Quasi un milione e mezzo di lavoratori ha visto crollare la produttività di oltre il 20%, più di qualsiasi altro comparto economico. La media nazionale registra un calo molto più contenuto pari a 2384</w:t>
      </w:r>
      <w:r w:rsidR="00053ACE">
        <w:rPr>
          <w:rFonts w:ascii="Arial" w:hAnsi="Arial" w:cs="Arial"/>
          <w:b/>
          <w:bCs/>
          <w:color w:val="201F1E"/>
          <w:sz w:val="28"/>
          <w:szCs w:val="28"/>
          <w:bdr w:val="none" w:sz="0" w:space="0" w:color="auto" w:frame="1"/>
        </w:rPr>
        <w:t xml:space="preserve"> </w:t>
      </w:r>
      <w:r w:rsidRPr="00232656">
        <w:rPr>
          <w:rFonts w:ascii="Arial" w:hAnsi="Arial" w:cs="Arial"/>
          <w:b/>
          <w:bCs/>
          <w:color w:val="201F1E"/>
          <w:sz w:val="28"/>
          <w:szCs w:val="28"/>
          <w:bdr w:val="none" w:sz="0" w:space="0" w:color="auto" w:frame="1"/>
        </w:rPr>
        <w:t>euro e 3,8% di produttività</w:t>
      </w:r>
      <w:r w:rsidR="009735BB">
        <w:rPr>
          <w:rFonts w:ascii="Arial" w:hAnsi="Arial" w:cs="Arial"/>
          <w:b/>
          <w:bCs/>
          <w:color w:val="201F1E"/>
          <w:sz w:val="28"/>
          <w:szCs w:val="28"/>
          <w:bdr w:val="none" w:sz="0" w:space="0" w:color="auto" w:frame="1"/>
        </w:rPr>
        <w:t xml:space="preserve">. Domani gli Stati generali delle professioni </w:t>
      </w:r>
    </w:p>
    <w:p w:rsidR="00232656" w:rsidRP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sz w:val="22"/>
          <w:szCs w:val="22"/>
        </w:rPr>
      </w:pPr>
      <w:r w:rsidRPr="00232656">
        <w:rPr>
          <w:rFonts w:ascii="Arial" w:hAnsi="Arial" w:cs="Arial"/>
          <w:b/>
          <w:bCs/>
          <w:color w:val="201F1E"/>
          <w:sz w:val="28"/>
          <w:szCs w:val="28"/>
          <w:bdr w:val="none" w:sz="0" w:space="0" w:color="auto" w:frame="1"/>
        </w:rPr>
        <w:t> </w:t>
      </w:r>
    </w:p>
    <w:p w:rsid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bdr w:val="none" w:sz="0" w:space="0" w:color="auto" w:frame="1"/>
        </w:rPr>
      </w:pPr>
      <w:r w:rsidRPr="009735BB">
        <w:rPr>
          <w:rFonts w:ascii="Arial" w:hAnsi="Arial" w:cs="Arial"/>
          <w:i/>
          <w:iCs/>
          <w:color w:val="201F1E"/>
          <w:bdr w:val="none" w:sz="0" w:space="0" w:color="auto" w:frame="1"/>
        </w:rPr>
        <w:t>Roma, 3 giugno 2020 -</w:t>
      </w:r>
      <w:r>
        <w:rPr>
          <w:rFonts w:ascii="Arial" w:hAnsi="Arial" w:cs="Arial"/>
          <w:color w:val="201F1E"/>
          <w:bdr w:val="none" w:sz="0" w:space="0" w:color="auto" w:frame="1"/>
        </w:rPr>
        <w:t xml:space="preserve"> </w:t>
      </w:r>
      <w:r w:rsidRPr="00232656">
        <w:rPr>
          <w:rFonts w:ascii="Arial" w:hAnsi="Arial" w:cs="Arial"/>
          <w:color w:val="201F1E"/>
          <w:bdr w:val="none" w:sz="0" w:space="0" w:color="auto" w:frame="1"/>
        </w:rPr>
        <w:t xml:space="preserve">Oltre </w:t>
      </w:r>
      <w:r w:rsidRPr="00232656">
        <w:rPr>
          <w:rFonts w:ascii="Arial" w:hAnsi="Arial" w:cs="Arial"/>
          <w:b/>
          <w:bCs/>
          <w:color w:val="201F1E"/>
          <w:bdr w:val="none" w:sz="0" w:space="0" w:color="auto" w:frame="1"/>
        </w:rPr>
        <w:t>13mila e</w:t>
      </w:r>
      <w:r w:rsidRPr="00711F58">
        <w:rPr>
          <w:rFonts w:ascii="Arial" w:hAnsi="Arial" w:cs="Arial"/>
          <w:b/>
          <w:bCs/>
          <w:color w:val="201F1E"/>
          <w:bdr w:val="none" w:sz="0" w:space="0" w:color="auto" w:frame="1"/>
        </w:rPr>
        <w:t>uro</w:t>
      </w:r>
      <w:r w:rsidRPr="00232656">
        <w:rPr>
          <w:rFonts w:ascii="Arial" w:hAnsi="Arial" w:cs="Arial"/>
          <w:color w:val="201F1E"/>
          <w:bdr w:val="none" w:sz="0" w:space="0" w:color="auto" w:frame="1"/>
        </w:rPr>
        <w:t xml:space="preserve"> per occupato lasciati per strada negli ultimi dodici anni. I liberi professionisti sono il comparto economico più colpito </w:t>
      </w:r>
      <w:r w:rsidR="00711F58">
        <w:rPr>
          <w:rFonts w:ascii="Arial" w:hAnsi="Arial" w:cs="Arial"/>
          <w:color w:val="201F1E"/>
          <w:bdr w:val="none" w:sz="0" w:space="0" w:color="auto" w:frame="1"/>
        </w:rPr>
        <w:t>dalla</w:t>
      </w:r>
      <w:r w:rsidRPr="00232656">
        <w:rPr>
          <w:rFonts w:ascii="Arial" w:hAnsi="Arial" w:cs="Arial"/>
          <w:color w:val="201F1E"/>
          <w:bdr w:val="none" w:sz="0" w:space="0" w:color="auto" w:frame="1"/>
        </w:rPr>
        <w:t xml:space="preserve"> crisi economica del 2008 con un </w:t>
      </w:r>
      <w:r w:rsidRPr="00232656">
        <w:rPr>
          <w:rFonts w:ascii="Arial" w:hAnsi="Arial" w:cs="Arial"/>
          <w:b/>
          <w:bCs/>
          <w:color w:val="201F1E"/>
          <w:bdr w:val="none" w:sz="0" w:space="0" w:color="auto" w:frame="1"/>
        </w:rPr>
        <w:t>calo di produttività</w:t>
      </w:r>
      <w:r w:rsidRPr="00232656">
        <w:rPr>
          <w:rFonts w:ascii="Arial" w:hAnsi="Arial" w:cs="Arial"/>
          <w:color w:val="201F1E"/>
          <w:bdr w:val="none" w:sz="0" w:space="0" w:color="auto" w:frame="1"/>
        </w:rPr>
        <w:t xml:space="preserve"> di </w:t>
      </w:r>
      <w:r w:rsidRPr="00232656">
        <w:rPr>
          <w:rFonts w:ascii="Arial" w:hAnsi="Arial" w:cs="Arial"/>
          <w:b/>
          <w:bCs/>
          <w:color w:val="201F1E"/>
          <w:bdr w:val="none" w:sz="0" w:space="0" w:color="auto" w:frame="1"/>
        </w:rPr>
        <w:t>oltre il 20</w:t>
      </w:r>
      <w:r w:rsidRPr="00232656">
        <w:rPr>
          <w:rFonts w:ascii="Arial" w:hAnsi="Arial" w:cs="Arial"/>
          <w:color w:val="201F1E"/>
          <w:bdr w:val="none" w:sz="0" w:space="0" w:color="auto" w:frame="1"/>
        </w:rPr>
        <w:t>% a fronte di una media nazionale che ha perso 2384</w:t>
      </w:r>
      <w:r w:rsidR="00053ACE">
        <w:rPr>
          <w:rFonts w:ascii="Arial" w:hAnsi="Arial" w:cs="Arial"/>
          <w:color w:val="201F1E"/>
          <w:bdr w:val="none" w:sz="0" w:space="0" w:color="auto" w:frame="1"/>
        </w:rPr>
        <w:t xml:space="preserve"> </w:t>
      </w:r>
      <w:r w:rsidRPr="00232656">
        <w:rPr>
          <w:rFonts w:ascii="Arial" w:hAnsi="Arial" w:cs="Arial"/>
          <w:color w:val="201F1E"/>
          <w:bdr w:val="none" w:sz="0" w:space="0" w:color="auto" w:frame="1"/>
        </w:rPr>
        <w:t xml:space="preserve">euro con una flessione della produttività del 3,8%. Il dato emerge dall’Osservatorio del Consiglio e della Fondazione Nazionale dei Commercialisti che rileva come mentre nell’economia generale cresceva la disoccupazione, le fila dei liberi professionisti si ingrossavano di anno in anno fino a raggiungere nel 2019 una crescita esponenziale rispetto al 2007: </w:t>
      </w:r>
      <w:r w:rsidRPr="00232656">
        <w:rPr>
          <w:rFonts w:ascii="Arial" w:hAnsi="Arial" w:cs="Arial"/>
          <w:b/>
          <w:bCs/>
          <w:color w:val="201F1E"/>
          <w:bdr w:val="none" w:sz="0" w:space="0" w:color="auto" w:frame="1"/>
        </w:rPr>
        <w:t>28%.</w:t>
      </w:r>
      <w:r w:rsidRPr="00232656">
        <w:rPr>
          <w:rFonts w:ascii="Arial" w:hAnsi="Arial" w:cs="Arial"/>
          <w:color w:val="201F1E"/>
          <w:bdr w:val="none" w:sz="0" w:space="0" w:color="auto" w:frame="1"/>
        </w:rPr>
        <w:t xml:space="preserve"> Nello stesso periodo, nell’intera economia, </w:t>
      </w:r>
      <w:r w:rsidRPr="00232656">
        <w:rPr>
          <w:rFonts w:ascii="Arial" w:hAnsi="Arial" w:cs="Arial"/>
          <w:b/>
          <w:bCs/>
          <w:color w:val="201F1E"/>
          <w:bdr w:val="none" w:sz="0" w:space="0" w:color="auto" w:frame="1"/>
        </w:rPr>
        <w:t>l’occupazione complessiva</w:t>
      </w:r>
      <w:r w:rsidRPr="00232656">
        <w:rPr>
          <w:rFonts w:ascii="Arial" w:hAnsi="Arial" w:cs="Arial"/>
          <w:color w:val="201F1E"/>
          <w:bdr w:val="none" w:sz="0" w:space="0" w:color="auto" w:frame="1"/>
        </w:rPr>
        <w:t xml:space="preserve"> aumentava appena del </w:t>
      </w:r>
      <w:r w:rsidRPr="00232656">
        <w:rPr>
          <w:rFonts w:ascii="Arial" w:hAnsi="Arial" w:cs="Arial"/>
          <w:b/>
          <w:bCs/>
          <w:color w:val="201F1E"/>
          <w:bdr w:val="none" w:sz="0" w:space="0" w:color="auto" w:frame="1"/>
        </w:rPr>
        <w:t>2%</w:t>
      </w:r>
      <w:r w:rsidRPr="00232656">
        <w:rPr>
          <w:rFonts w:ascii="Arial" w:hAnsi="Arial" w:cs="Arial"/>
          <w:color w:val="201F1E"/>
          <w:bdr w:val="none" w:sz="0" w:space="0" w:color="auto" w:frame="1"/>
        </w:rPr>
        <w:t xml:space="preserve"> e tra gli </w:t>
      </w:r>
      <w:r w:rsidRPr="00232656">
        <w:rPr>
          <w:rFonts w:ascii="Arial" w:hAnsi="Arial" w:cs="Arial"/>
          <w:b/>
          <w:bCs/>
          <w:color w:val="201F1E"/>
          <w:bdr w:val="none" w:sz="0" w:space="0" w:color="auto" w:frame="1"/>
        </w:rPr>
        <w:t>indipendenti diminuiva</w:t>
      </w:r>
      <w:r w:rsidRPr="00232656">
        <w:rPr>
          <w:rFonts w:ascii="Arial" w:hAnsi="Arial" w:cs="Arial"/>
          <w:color w:val="201F1E"/>
          <w:bdr w:val="none" w:sz="0" w:space="0" w:color="auto" w:frame="1"/>
        </w:rPr>
        <w:t xml:space="preserve"> addirittura </w:t>
      </w:r>
      <w:r w:rsidRPr="00232656">
        <w:rPr>
          <w:rFonts w:ascii="Arial" w:hAnsi="Arial" w:cs="Arial"/>
          <w:b/>
          <w:bCs/>
          <w:color w:val="201F1E"/>
          <w:bdr w:val="none" w:sz="0" w:space="0" w:color="auto" w:frame="1"/>
        </w:rPr>
        <w:t>dell’11%</w:t>
      </w:r>
      <w:r w:rsidRPr="00232656">
        <w:rPr>
          <w:rFonts w:ascii="Arial" w:hAnsi="Arial" w:cs="Arial"/>
          <w:color w:val="201F1E"/>
          <w:bdr w:val="none" w:sz="0" w:space="0" w:color="auto" w:frame="1"/>
        </w:rPr>
        <w:t xml:space="preserve">. L’offerta di lavoro libero professionale è cresciuta a un ritmo decisamente superiore a quello della produzione determinando così un </w:t>
      </w:r>
      <w:r w:rsidRPr="00232656">
        <w:rPr>
          <w:rFonts w:ascii="Arial" w:hAnsi="Arial" w:cs="Arial"/>
          <w:b/>
          <w:bCs/>
          <w:color w:val="201F1E"/>
          <w:bdr w:val="none" w:sz="0" w:space="0" w:color="auto" w:frame="1"/>
        </w:rPr>
        <w:t>repentino crollo della produttività individuale</w:t>
      </w:r>
      <w:r w:rsidRPr="00232656">
        <w:rPr>
          <w:rFonts w:ascii="Arial" w:hAnsi="Arial" w:cs="Arial"/>
          <w:color w:val="201F1E"/>
          <w:bdr w:val="none" w:sz="0" w:space="0" w:color="auto" w:frame="1"/>
        </w:rPr>
        <w:t xml:space="preserve">. In altri termini, la domanda di servizi professionali non è cresciuta allo stesso ritmo dell’offerta di servizi, anzi è rimasta quasi stazionaria con la conseguenza di appiattire significativamente i redditi medi dell’intero comparto. Nello stesso periodo, infatti, il </w:t>
      </w:r>
      <w:r w:rsidRPr="00232656">
        <w:rPr>
          <w:rFonts w:ascii="Arial" w:hAnsi="Arial" w:cs="Arial"/>
          <w:b/>
          <w:bCs/>
          <w:color w:val="201F1E"/>
          <w:bdr w:val="none" w:sz="0" w:space="0" w:color="auto" w:frame="1"/>
        </w:rPr>
        <w:t>valore aggiunto per occupato</w:t>
      </w:r>
      <w:r w:rsidRPr="00232656">
        <w:rPr>
          <w:rFonts w:ascii="Arial" w:hAnsi="Arial" w:cs="Arial"/>
          <w:color w:val="201F1E"/>
          <w:bdr w:val="none" w:sz="0" w:space="0" w:color="auto" w:frame="1"/>
        </w:rPr>
        <w:t xml:space="preserve">, misurato in termini reali (cioè al netto dell’inflazione), del comparto delle attività professionali si è </w:t>
      </w:r>
      <w:r w:rsidRPr="00232656">
        <w:rPr>
          <w:rFonts w:ascii="Arial" w:hAnsi="Arial" w:cs="Arial"/>
          <w:b/>
          <w:bCs/>
          <w:color w:val="201F1E"/>
          <w:bdr w:val="none" w:sz="0" w:space="0" w:color="auto" w:frame="1"/>
        </w:rPr>
        <w:t>ridotto del 21,5%</w:t>
      </w:r>
      <w:r w:rsidRPr="00232656">
        <w:rPr>
          <w:rFonts w:ascii="Arial" w:hAnsi="Arial" w:cs="Arial"/>
          <w:color w:val="201F1E"/>
          <w:bdr w:val="none" w:sz="0" w:space="0" w:color="auto" w:frame="1"/>
        </w:rPr>
        <w:t xml:space="preserve"> facendo registrare una perdita in termini assoluti di quasi </w:t>
      </w:r>
      <w:r w:rsidRPr="00232656">
        <w:rPr>
          <w:rFonts w:ascii="Arial" w:hAnsi="Arial" w:cs="Arial"/>
          <w:b/>
          <w:bCs/>
          <w:color w:val="201F1E"/>
          <w:bdr w:val="none" w:sz="0" w:space="0" w:color="auto" w:frame="1"/>
        </w:rPr>
        <w:t>13 mila euro per ogni lavoratore</w:t>
      </w:r>
      <w:r w:rsidRPr="00232656">
        <w:rPr>
          <w:rFonts w:ascii="Arial" w:hAnsi="Arial" w:cs="Arial"/>
          <w:color w:val="201F1E"/>
          <w:bdr w:val="none" w:sz="0" w:space="0" w:color="auto" w:frame="1"/>
        </w:rPr>
        <w:t xml:space="preserve">. </w:t>
      </w:r>
    </w:p>
    <w:p w:rsid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bdr w:val="none" w:sz="0" w:space="0" w:color="auto" w:frame="1"/>
        </w:rPr>
      </w:pPr>
    </w:p>
    <w:p w:rsid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bdr w:val="none" w:sz="0" w:space="0" w:color="auto" w:frame="1"/>
        </w:rPr>
      </w:pPr>
      <w:r w:rsidRPr="00232656">
        <w:rPr>
          <w:rFonts w:ascii="Arial" w:hAnsi="Arial" w:cs="Arial"/>
          <w:color w:val="201F1E"/>
          <w:bdr w:val="none" w:sz="0" w:space="0" w:color="auto" w:frame="1"/>
        </w:rPr>
        <w:t xml:space="preserve">La crisi ha colpito duramente l’intero settore del </w:t>
      </w:r>
      <w:r w:rsidRPr="00232656">
        <w:rPr>
          <w:rFonts w:ascii="Arial" w:hAnsi="Arial" w:cs="Arial"/>
          <w:b/>
          <w:bCs/>
          <w:color w:val="201F1E"/>
          <w:bdr w:val="none" w:sz="0" w:space="0" w:color="auto" w:frame="1"/>
        </w:rPr>
        <w:t>lavoro indipendente</w:t>
      </w:r>
      <w:r w:rsidRPr="00232656">
        <w:rPr>
          <w:rFonts w:ascii="Arial" w:hAnsi="Arial" w:cs="Arial"/>
          <w:color w:val="201F1E"/>
          <w:bdr w:val="none" w:sz="0" w:space="0" w:color="auto" w:frame="1"/>
        </w:rPr>
        <w:t xml:space="preserve"> che negli anni ha perso </w:t>
      </w:r>
      <w:r w:rsidRPr="00232656">
        <w:rPr>
          <w:rFonts w:ascii="Arial" w:hAnsi="Arial" w:cs="Arial"/>
          <w:b/>
          <w:bCs/>
          <w:color w:val="201F1E"/>
          <w:bdr w:val="none" w:sz="0" w:space="0" w:color="auto" w:frame="1"/>
        </w:rPr>
        <w:t>669 mila occupati</w:t>
      </w:r>
      <w:r w:rsidRPr="00232656">
        <w:rPr>
          <w:rFonts w:ascii="Arial" w:hAnsi="Arial" w:cs="Arial"/>
          <w:color w:val="201F1E"/>
          <w:bdr w:val="none" w:sz="0" w:space="0" w:color="auto" w:frame="1"/>
        </w:rPr>
        <w:t xml:space="preserve">, </w:t>
      </w:r>
      <w:r w:rsidRPr="00232656">
        <w:rPr>
          <w:rFonts w:ascii="Arial" w:hAnsi="Arial" w:cs="Arial"/>
          <w:b/>
          <w:bCs/>
          <w:color w:val="201F1E"/>
          <w:bdr w:val="none" w:sz="0" w:space="0" w:color="auto" w:frame="1"/>
        </w:rPr>
        <w:t>l’11,2%.</w:t>
      </w:r>
      <w:r w:rsidRPr="00232656">
        <w:rPr>
          <w:rFonts w:ascii="Arial" w:hAnsi="Arial" w:cs="Arial"/>
          <w:color w:val="201F1E"/>
          <w:bdr w:val="none" w:sz="0" w:space="0" w:color="auto" w:frame="1"/>
        </w:rPr>
        <w:t xml:space="preserve"> Nello stesso periodo, l’occupazione dipendente è cresciuta del </w:t>
      </w:r>
      <w:r w:rsidRPr="00232656">
        <w:rPr>
          <w:rFonts w:ascii="Arial" w:hAnsi="Arial" w:cs="Arial"/>
          <w:b/>
          <w:bCs/>
          <w:color w:val="201F1E"/>
          <w:bdr w:val="none" w:sz="0" w:space="0" w:color="auto" w:frame="1"/>
        </w:rPr>
        <w:t>6,7%,</w:t>
      </w:r>
      <w:r w:rsidRPr="00232656">
        <w:rPr>
          <w:rFonts w:ascii="Arial" w:hAnsi="Arial" w:cs="Arial"/>
          <w:color w:val="201F1E"/>
          <w:bdr w:val="none" w:sz="0" w:space="0" w:color="auto" w:frame="1"/>
        </w:rPr>
        <w:t xml:space="preserve"> un incremento di </w:t>
      </w:r>
      <w:r w:rsidRPr="00232656">
        <w:rPr>
          <w:rFonts w:ascii="Arial" w:hAnsi="Arial" w:cs="Arial"/>
          <w:b/>
          <w:bCs/>
          <w:color w:val="201F1E"/>
          <w:bdr w:val="none" w:sz="0" w:space="0" w:color="auto" w:frame="1"/>
        </w:rPr>
        <w:t>1 milione e 135 mila occupati</w:t>
      </w:r>
      <w:r w:rsidRPr="00232656">
        <w:rPr>
          <w:rFonts w:ascii="Arial" w:hAnsi="Arial" w:cs="Arial"/>
          <w:color w:val="201F1E"/>
          <w:bdr w:val="none" w:sz="0" w:space="0" w:color="auto" w:frame="1"/>
        </w:rPr>
        <w:t xml:space="preserve">. Invece, in assoluta controtendenza rispetto al totale degli occupati indipendenti, i </w:t>
      </w:r>
      <w:r w:rsidRPr="00232656">
        <w:rPr>
          <w:rFonts w:ascii="Arial" w:hAnsi="Arial" w:cs="Arial"/>
          <w:b/>
          <w:bCs/>
          <w:color w:val="201F1E"/>
          <w:bdr w:val="none" w:sz="0" w:space="0" w:color="auto" w:frame="1"/>
        </w:rPr>
        <w:t>liberi professionisti</w:t>
      </w:r>
      <w:r w:rsidRPr="00232656">
        <w:rPr>
          <w:rFonts w:ascii="Arial" w:hAnsi="Arial" w:cs="Arial"/>
          <w:color w:val="201F1E"/>
          <w:bdr w:val="none" w:sz="0" w:space="0" w:color="auto" w:frame="1"/>
        </w:rPr>
        <w:t xml:space="preserve"> sono aumentati di </w:t>
      </w:r>
      <w:r w:rsidRPr="00232656">
        <w:rPr>
          <w:rFonts w:ascii="Arial" w:hAnsi="Arial" w:cs="Arial"/>
          <w:b/>
          <w:bCs/>
          <w:color w:val="201F1E"/>
          <w:bdr w:val="none" w:sz="0" w:space="0" w:color="auto" w:frame="1"/>
        </w:rPr>
        <w:t>310 mila unità (27,6%).</w:t>
      </w:r>
      <w:r w:rsidRPr="00232656">
        <w:rPr>
          <w:rFonts w:ascii="Arial" w:hAnsi="Arial" w:cs="Arial"/>
          <w:color w:val="201F1E"/>
          <w:bdr w:val="none" w:sz="0" w:space="0" w:color="auto" w:frame="1"/>
        </w:rPr>
        <w:t xml:space="preserve"> Il calo di occupati indipendenti è, dunque, concentrato nell’area che l’Istat definisce del lavoro autonomo, essenzialmente commercianti ed artigiani, che sono diminuiti del 15%, un calo di 538 mila occupati. Oltre che nell’area residuale dei coadiuvanti familiari, dei soci di cooperativa e dei collaboratori che hanno lasciato sul terreno altri 396 mila occupati. </w:t>
      </w:r>
    </w:p>
    <w:p w:rsid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bdr w:val="none" w:sz="0" w:space="0" w:color="auto" w:frame="1"/>
        </w:rPr>
      </w:pPr>
    </w:p>
    <w:p w:rsidR="00232656" w:rsidRP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rPr>
      </w:pPr>
      <w:r w:rsidRPr="00232656">
        <w:rPr>
          <w:rFonts w:ascii="Arial" w:hAnsi="Arial" w:cs="Arial"/>
          <w:color w:val="201F1E"/>
          <w:bdr w:val="none" w:sz="0" w:space="0" w:color="auto" w:frame="1"/>
        </w:rPr>
        <w:t>Concentrando l’analisi sul settore “</w:t>
      </w:r>
      <w:r w:rsidRPr="00232656">
        <w:rPr>
          <w:rFonts w:ascii="Arial" w:hAnsi="Arial" w:cs="Arial"/>
          <w:b/>
          <w:bCs/>
          <w:color w:val="201F1E"/>
          <w:bdr w:val="none" w:sz="0" w:space="0" w:color="auto" w:frame="1"/>
        </w:rPr>
        <w:t>Attività professionali, scientifiche e tecniche, amministrazione e servizi di supporto</w:t>
      </w:r>
      <w:r w:rsidRPr="00232656">
        <w:rPr>
          <w:rFonts w:ascii="Arial" w:hAnsi="Arial" w:cs="Arial"/>
          <w:color w:val="201F1E"/>
          <w:bdr w:val="none" w:sz="0" w:space="0" w:color="auto" w:frame="1"/>
        </w:rPr>
        <w:t xml:space="preserve">”, che contiene la quasi totalità dell’universo delle libere professioni socio-economiche, giuridiche e tecniche (ad eccezione, quindi, dell’area socio-sanitaria che risulta, in buona parte, ricompresa tra gli occupati dipendenti), i dati Istat indicano che il valore aggiunto per occupato, il principale indicatore che misura la </w:t>
      </w:r>
      <w:r w:rsidRPr="00232656">
        <w:rPr>
          <w:rFonts w:ascii="Arial" w:hAnsi="Arial" w:cs="Arial"/>
          <w:color w:val="201F1E"/>
          <w:bdr w:val="none" w:sz="0" w:space="0" w:color="auto" w:frame="1"/>
        </w:rPr>
        <w:lastRenderedPageBreak/>
        <w:t xml:space="preserve">produttività del lavoro, ha lasciato sul terreno </w:t>
      </w:r>
      <w:r w:rsidRPr="00232656">
        <w:rPr>
          <w:rFonts w:ascii="Arial" w:hAnsi="Arial" w:cs="Arial"/>
          <w:b/>
          <w:bCs/>
          <w:color w:val="201F1E"/>
          <w:bdr w:val="none" w:sz="0" w:space="0" w:color="auto" w:frame="1"/>
        </w:rPr>
        <w:t>12.686 euro (-21,5,%)</w:t>
      </w:r>
      <w:r w:rsidRPr="00232656">
        <w:rPr>
          <w:rFonts w:ascii="Arial" w:hAnsi="Arial" w:cs="Arial"/>
          <w:color w:val="201F1E"/>
          <w:bdr w:val="none" w:sz="0" w:space="0" w:color="auto" w:frame="1"/>
        </w:rPr>
        <w:t xml:space="preserve"> passando da </w:t>
      </w:r>
      <w:r w:rsidRPr="00232656">
        <w:rPr>
          <w:rFonts w:ascii="Arial" w:hAnsi="Arial" w:cs="Arial"/>
          <w:b/>
          <w:bCs/>
          <w:color w:val="201F1E"/>
          <w:bdr w:val="none" w:sz="0" w:space="0" w:color="auto" w:frame="1"/>
        </w:rPr>
        <w:t xml:space="preserve">58.986 euro a 46.301 euro </w:t>
      </w:r>
      <w:r w:rsidRPr="00232656">
        <w:rPr>
          <w:rFonts w:ascii="Arial" w:hAnsi="Arial" w:cs="Arial"/>
          <w:color w:val="201F1E"/>
          <w:bdr w:val="none" w:sz="0" w:space="0" w:color="auto" w:frame="1"/>
        </w:rPr>
        <w:t xml:space="preserve">(rispetto ad una media nazionale di 60.770 euro che, invece, ha subito un calo molto più contenuto pari a -2.384 euro, il 3,8% in meno rispetto al 2007). Se, invece, focalizziamo l’analisi sul sotto-settore “Attività professionali, scientifiche e tecniche” che rappresenta ancora più fedelmente l’universo delle libere professioni economiche, giuridiche e tecniche, il valore aggiunto per occupato ha perso in dodici anni </w:t>
      </w:r>
      <w:r w:rsidRPr="00232656">
        <w:rPr>
          <w:rFonts w:ascii="Arial" w:hAnsi="Arial" w:cs="Arial"/>
          <w:b/>
          <w:bCs/>
          <w:color w:val="201F1E"/>
          <w:bdr w:val="none" w:sz="0" w:space="0" w:color="auto" w:frame="1"/>
        </w:rPr>
        <w:t>13.729 euro (-19,3%</w:t>
      </w:r>
      <w:r w:rsidRPr="00232656">
        <w:rPr>
          <w:rFonts w:ascii="Arial" w:hAnsi="Arial" w:cs="Arial"/>
          <w:color w:val="201F1E"/>
          <w:bdr w:val="none" w:sz="0" w:space="0" w:color="auto" w:frame="1"/>
        </w:rPr>
        <w:t xml:space="preserve">) passando da </w:t>
      </w:r>
      <w:r w:rsidRPr="00232656">
        <w:rPr>
          <w:rFonts w:ascii="Arial" w:hAnsi="Arial" w:cs="Arial"/>
          <w:b/>
          <w:bCs/>
          <w:color w:val="201F1E"/>
          <w:bdr w:val="none" w:sz="0" w:space="0" w:color="auto" w:frame="1"/>
        </w:rPr>
        <w:t>71.302 euro</w:t>
      </w:r>
      <w:r w:rsidRPr="00232656">
        <w:rPr>
          <w:rFonts w:ascii="Arial" w:hAnsi="Arial" w:cs="Arial"/>
          <w:color w:val="201F1E"/>
          <w:bdr w:val="none" w:sz="0" w:space="0" w:color="auto" w:frame="1"/>
        </w:rPr>
        <w:t xml:space="preserve"> del 2007 a </w:t>
      </w:r>
      <w:r w:rsidRPr="00232656">
        <w:rPr>
          <w:rFonts w:ascii="Arial" w:hAnsi="Arial" w:cs="Arial"/>
          <w:b/>
          <w:bCs/>
          <w:color w:val="201F1E"/>
          <w:bdr w:val="none" w:sz="0" w:space="0" w:color="auto" w:frame="1"/>
        </w:rPr>
        <w:t>57.573 del 2019</w:t>
      </w:r>
      <w:r w:rsidRPr="00232656">
        <w:rPr>
          <w:rFonts w:ascii="Arial" w:hAnsi="Arial" w:cs="Arial"/>
          <w:color w:val="201F1E"/>
          <w:bdr w:val="none" w:sz="0" w:space="0" w:color="auto" w:frame="1"/>
        </w:rPr>
        <w:t xml:space="preserve">. Se prima, dunque, la produttività media del settore era </w:t>
      </w:r>
      <w:r w:rsidRPr="00232656">
        <w:rPr>
          <w:rFonts w:ascii="Arial" w:hAnsi="Arial" w:cs="Arial"/>
          <w:b/>
          <w:bCs/>
          <w:color w:val="201F1E"/>
          <w:bdr w:val="none" w:sz="0" w:space="0" w:color="auto" w:frame="1"/>
        </w:rPr>
        <w:t>superiore</w:t>
      </w:r>
      <w:r w:rsidRPr="00232656">
        <w:rPr>
          <w:rFonts w:ascii="Arial" w:hAnsi="Arial" w:cs="Arial"/>
          <w:color w:val="201F1E"/>
          <w:bdr w:val="none" w:sz="0" w:space="0" w:color="auto" w:frame="1"/>
        </w:rPr>
        <w:t xml:space="preserve"> a quella media nazionale (</w:t>
      </w:r>
      <w:r w:rsidRPr="00232656">
        <w:rPr>
          <w:rFonts w:ascii="Arial" w:hAnsi="Arial" w:cs="Arial"/>
          <w:b/>
          <w:bCs/>
          <w:color w:val="201F1E"/>
          <w:bdr w:val="none" w:sz="0" w:space="0" w:color="auto" w:frame="1"/>
        </w:rPr>
        <w:t>113%</w:t>
      </w:r>
      <w:r w:rsidRPr="00232656">
        <w:rPr>
          <w:rFonts w:ascii="Arial" w:hAnsi="Arial" w:cs="Arial"/>
          <w:color w:val="201F1E"/>
          <w:bdr w:val="none" w:sz="0" w:space="0" w:color="auto" w:frame="1"/>
        </w:rPr>
        <w:t>), dopo la crisi è scesa ad un livello inferiore (</w:t>
      </w:r>
      <w:r w:rsidRPr="00232656">
        <w:rPr>
          <w:rFonts w:ascii="Arial" w:hAnsi="Arial" w:cs="Arial"/>
          <w:b/>
          <w:bCs/>
          <w:color w:val="201F1E"/>
          <w:bdr w:val="none" w:sz="0" w:space="0" w:color="auto" w:frame="1"/>
        </w:rPr>
        <w:t>94%</w:t>
      </w:r>
      <w:r w:rsidRPr="00232656">
        <w:rPr>
          <w:rFonts w:ascii="Arial" w:hAnsi="Arial" w:cs="Arial"/>
          <w:color w:val="201F1E"/>
          <w:bdr w:val="none" w:sz="0" w:space="0" w:color="auto" w:frame="1"/>
        </w:rPr>
        <w:t xml:space="preserve">), mostrando un gap già abbastanza significativo e preoccupante. Ulteriori stime e rielaborazioni sui dati Istat di contabilità nazionale, infine, hanno anche permesso di evidenziare come il crollo della produttività nell’ambito delle libere professioni sia abbastanza diffuso ed omogeneo, tranne piccole differenze tra macroaree. Infatti, mentre l’area delle </w:t>
      </w:r>
      <w:r w:rsidRPr="00232656">
        <w:rPr>
          <w:rFonts w:ascii="Arial" w:hAnsi="Arial" w:cs="Arial"/>
          <w:b/>
          <w:bCs/>
          <w:color w:val="201F1E"/>
          <w:bdr w:val="none" w:sz="0" w:space="0" w:color="auto" w:frame="1"/>
        </w:rPr>
        <w:t>professioni giuridiche ed economiche</w:t>
      </w:r>
      <w:r w:rsidRPr="00232656">
        <w:rPr>
          <w:rFonts w:ascii="Arial" w:hAnsi="Arial" w:cs="Arial"/>
          <w:color w:val="201F1E"/>
          <w:bdr w:val="none" w:sz="0" w:space="0" w:color="auto" w:frame="1"/>
        </w:rPr>
        <w:t xml:space="preserve"> ha contenuto il crollo </w:t>
      </w:r>
      <w:r w:rsidRPr="00232656">
        <w:rPr>
          <w:rFonts w:ascii="Arial" w:hAnsi="Arial" w:cs="Arial"/>
          <w:b/>
          <w:bCs/>
          <w:color w:val="201F1E"/>
          <w:bdr w:val="none" w:sz="0" w:space="0" w:color="auto" w:frame="1"/>
        </w:rPr>
        <w:t>a -16,9%,</w:t>
      </w:r>
      <w:r w:rsidRPr="00232656">
        <w:rPr>
          <w:rFonts w:ascii="Arial" w:hAnsi="Arial" w:cs="Arial"/>
          <w:color w:val="201F1E"/>
          <w:bdr w:val="none" w:sz="0" w:space="0" w:color="auto" w:frame="1"/>
        </w:rPr>
        <w:t xml:space="preserve"> quelle </w:t>
      </w:r>
      <w:r w:rsidRPr="00232656">
        <w:rPr>
          <w:rFonts w:ascii="Arial" w:hAnsi="Arial" w:cs="Arial"/>
          <w:b/>
          <w:bCs/>
          <w:color w:val="201F1E"/>
          <w:bdr w:val="none" w:sz="0" w:space="0" w:color="auto" w:frame="1"/>
        </w:rPr>
        <w:t>tecniche</w:t>
      </w:r>
      <w:r w:rsidRPr="00232656">
        <w:rPr>
          <w:rFonts w:ascii="Arial" w:hAnsi="Arial" w:cs="Arial"/>
          <w:color w:val="201F1E"/>
          <w:bdr w:val="none" w:sz="0" w:space="0" w:color="auto" w:frame="1"/>
        </w:rPr>
        <w:t xml:space="preserve"> hanno subito una perdita maggiore e pari a </w:t>
      </w:r>
      <w:r w:rsidRPr="00232656">
        <w:rPr>
          <w:rFonts w:ascii="Arial" w:hAnsi="Arial" w:cs="Arial"/>
          <w:b/>
          <w:bCs/>
          <w:color w:val="201F1E"/>
          <w:bdr w:val="none" w:sz="0" w:space="0" w:color="auto" w:frame="1"/>
        </w:rPr>
        <w:t>-20,4%.</w:t>
      </w:r>
    </w:p>
    <w:p w:rsid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sz w:val="28"/>
          <w:szCs w:val="28"/>
          <w:bdr w:val="none" w:sz="0" w:space="0" w:color="auto" w:frame="1"/>
        </w:rPr>
      </w:pPr>
    </w:p>
    <w:p w:rsidR="00232656" w:rsidRPr="00232656" w:rsidRDefault="00232656" w:rsidP="00F91DED">
      <w:pPr>
        <w:jc w:val="both"/>
        <w:rPr>
          <w:rFonts w:ascii="Arial" w:eastAsia="Times New Roman" w:hAnsi="Arial" w:cs="Arial"/>
          <w:lang w:eastAsia="it-IT"/>
        </w:rPr>
      </w:pPr>
      <w:r w:rsidRPr="00F91DED">
        <w:rPr>
          <w:rFonts w:ascii="Arial" w:eastAsia="Times New Roman" w:hAnsi="Arial" w:cs="Arial"/>
          <w:color w:val="000000"/>
          <w:lang w:eastAsia="it-IT"/>
        </w:rPr>
        <w:t>“I numeri fornitici da</w:t>
      </w:r>
      <w:r w:rsidR="00E654EA">
        <w:rPr>
          <w:rFonts w:ascii="Arial" w:eastAsia="Times New Roman" w:hAnsi="Arial" w:cs="Arial"/>
          <w:color w:val="000000"/>
          <w:lang w:eastAsia="it-IT"/>
        </w:rPr>
        <w:t xml:space="preserve">l nostro Osservatorio </w:t>
      </w:r>
      <w:r w:rsidRPr="00F91DED">
        <w:rPr>
          <w:rFonts w:ascii="Arial" w:eastAsia="Times New Roman" w:hAnsi="Arial" w:cs="Arial"/>
          <w:color w:val="000000"/>
          <w:lang w:eastAsia="it-IT"/>
        </w:rPr>
        <w:t xml:space="preserve">– commenta il presidente del Consiglio nazionale dei commercialisti, </w:t>
      </w:r>
      <w:r w:rsidRPr="00F91DED">
        <w:rPr>
          <w:rFonts w:ascii="Arial" w:eastAsia="Times New Roman" w:hAnsi="Arial" w:cs="Arial"/>
          <w:b/>
          <w:bCs/>
          <w:color w:val="000000"/>
          <w:lang w:eastAsia="it-IT"/>
        </w:rPr>
        <w:t>Massimo Miani</w:t>
      </w:r>
      <w:r w:rsidRPr="00F91DED">
        <w:rPr>
          <w:rFonts w:ascii="Arial" w:eastAsia="Times New Roman" w:hAnsi="Arial" w:cs="Arial"/>
          <w:color w:val="000000"/>
          <w:lang w:eastAsia="it-IT"/>
        </w:rPr>
        <w:t xml:space="preserve"> – certificano </w:t>
      </w:r>
      <w:r w:rsidRPr="00232656">
        <w:rPr>
          <w:rFonts w:ascii="Arial" w:eastAsia="Times New Roman" w:hAnsi="Arial" w:cs="Arial"/>
          <w:color w:val="000000"/>
          <w:lang w:eastAsia="it-IT"/>
        </w:rPr>
        <w:t>una profonda distorsione del mercato del lavoro che, soprattutto nelle mutate condizioni conseguenti alla crisi del 2008, continua a generare un sovraffollamento del sistema</w:t>
      </w:r>
      <w:r w:rsidR="00F91DED">
        <w:rPr>
          <w:rFonts w:ascii="Arial" w:eastAsia="Times New Roman" w:hAnsi="Arial" w:cs="Arial"/>
          <w:color w:val="000000"/>
          <w:lang w:eastAsia="it-IT"/>
        </w:rPr>
        <w:t xml:space="preserve"> e</w:t>
      </w:r>
      <w:r w:rsidR="007574AF">
        <w:rPr>
          <w:rFonts w:ascii="Arial" w:eastAsia="Times New Roman" w:hAnsi="Arial" w:cs="Arial"/>
          <w:color w:val="000000"/>
          <w:lang w:eastAsia="it-IT"/>
        </w:rPr>
        <w:t xml:space="preserve"> </w:t>
      </w:r>
      <w:r w:rsidRPr="00232656">
        <w:rPr>
          <w:rFonts w:ascii="Arial" w:eastAsia="Times New Roman" w:hAnsi="Arial" w:cs="Arial"/>
          <w:color w:val="000000"/>
          <w:lang w:eastAsia="it-IT"/>
        </w:rPr>
        <w:t>un eccesso di offerta che deprime il valore dei servizi prestati</w:t>
      </w:r>
      <w:r w:rsidRPr="00F91DED">
        <w:rPr>
          <w:rFonts w:ascii="Arial" w:eastAsia="Times New Roman" w:hAnsi="Arial" w:cs="Arial"/>
          <w:color w:val="000000"/>
          <w:lang w:eastAsia="it-IT"/>
        </w:rPr>
        <w:t xml:space="preserve">. Gli </w:t>
      </w:r>
      <w:r w:rsidRPr="00232656">
        <w:rPr>
          <w:rFonts w:ascii="Arial" w:eastAsia="Times New Roman" w:hAnsi="Arial" w:cs="Arial"/>
          <w:color w:val="000000"/>
          <w:lang w:eastAsia="it-IT"/>
        </w:rPr>
        <w:t xml:space="preserve">Ordini professionali </w:t>
      </w:r>
      <w:r w:rsidRPr="00F91DED">
        <w:rPr>
          <w:rFonts w:ascii="Arial" w:eastAsia="Times New Roman" w:hAnsi="Arial" w:cs="Arial"/>
          <w:color w:val="000000"/>
          <w:lang w:eastAsia="it-IT"/>
        </w:rPr>
        <w:t>sono da tempo in crisi e non è più possibile che dalla politica veng</w:t>
      </w:r>
      <w:r w:rsidR="00F91DED">
        <w:rPr>
          <w:rFonts w:ascii="Arial" w:eastAsia="Times New Roman" w:hAnsi="Arial" w:cs="Arial"/>
          <w:color w:val="000000"/>
          <w:lang w:eastAsia="it-IT"/>
        </w:rPr>
        <w:t>a</w:t>
      </w:r>
      <w:r w:rsidRPr="00F91DED">
        <w:rPr>
          <w:rFonts w:ascii="Arial" w:eastAsia="Times New Roman" w:hAnsi="Arial" w:cs="Arial"/>
          <w:color w:val="000000"/>
          <w:lang w:eastAsia="it-IT"/>
        </w:rPr>
        <w:t xml:space="preserve">no trattati </w:t>
      </w:r>
      <w:r w:rsidRPr="00232656">
        <w:rPr>
          <w:rFonts w:ascii="Arial" w:eastAsia="Times New Roman" w:hAnsi="Arial" w:cs="Arial"/>
          <w:color w:val="000000"/>
          <w:lang w:eastAsia="it-IT"/>
        </w:rPr>
        <w:t xml:space="preserve">come delle corporazioni </w:t>
      </w:r>
      <w:r w:rsidRPr="00F91DED">
        <w:rPr>
          <w:rFonts w:ascii="Arial" w:eastAsia="Times New Roman" w:hAnsi="Arial" w:cs="Arial"/>
          <w:color w:val="000000"/>
          <w:lang w:eastAsia="it-IT"/>
        </w:rPr>
        <w:t>e</w:t>
      </w:r>
      <w:r w:rsidRPr="00232656">
        <w:rPr>
          <w:rFonts w:ascii="Arial" w:eastAsia="Times New Roman" w:hAnsi="Arial" w:cs="Arial"/>
          <w:color w:val="000000"/>
          <w:lang w:eastAsia="it-IT"/>
        </w:rPr>
        <w:t xml:space="preserve"> </w:t>
      </w:r>
      <w:r w:rsidR="00F91DED" w:rsidRPr="00F91DED">
        <w:rPr>
          <w:rFonts w:ascii="Arial" w:eastAsia="Times New Roman" w:hAnsi="Arial" w:cs="Arial"/>
          <w:color w:val="000000"/>
          <w:lang w:eastAsia="it-IT"/>
        </w:rPr>
        <w:t xml:space="preserve">che </w:t>
      </w:r>
      <w:r w:rsidRPr="00232656">
        <w:rPr>
          <w:rFonts w:ascii="Arial" w:eastAsia="Times New Roman" w:hAnsi="Arial" w:cs="Arial"/>
          <w:color w:val="000000"/>
          <w:lang w:eastAsia="it-IT"/>
        </w:rPr>
        <w:t xml:space="preserve">i singoli professionisti </w:t>
      </w:r>
      <w:r w:rsidR="00F91DED" w:rsidRPr="00F91DED">
        <w:rPr>
          <w:rFonts w:ascii="Arial" w:eastAsia="Times New Roman" w:hAnsi="Arial" w:cs="Arial"/>
          <w:color w:val="000000"/>
          <w:lang w:eastAsia="it-IT"/>
        </w:rPr>
        <w:t xml:space="preserve">siano ancora percepiti </w:t>
      </w:r>
      <w:r w:rsidRPr="00232656">
        <w:rPr>
          <w:rFonts w:ascii="Arial" w:eastAsia="Times New Roman" w:hAnsi="Arial" w:cs="Arial"/>
          <w:color w:val="000000"/>
          <w:lang w:eastAsia="it-IT"/>
        </w:rPr>
        <w:t xml:space="preserve">come dei privilegiati, secondo una visione ormai </w:t>
      </w:r>
      <w:r w:rsidR="00F91DED">
        <w:rPr>
          <w:rFonts w:ascii="Arial" w:eastAsia="Times New Roman" w:hAnsi="Arial" w:cs="Arial"/>
          <w:color w:val="000000"/>
          <w:lang w:eastAsia="it-IT"/>
        </w:rPr>
        <w:t>del tutto obsoleta</w:t>
      </w:r>
      <w:r w:rsidRPr="00232656">
        <w:rPr>
          <w:rFonts w:ascii="Arial" w:eastAsia="Times New Roman" w:hAnsi="Arial" w:cs="Arial"/>
          <w:color w:val="000000"/>
          <w:lang w:eastAsia="it-IT"/>
        </w:rPr>
        <w:t>.</w:t>
      </w:r>
      <w:r w:rsidR="00F91DED" w:rsidRPr="00F91DED">
        <w:rPr>
          <w:rFonts w:ascii="Arial" w:eastAsia="Times New Roman" w:hAnsi="Arial" w:cs="Arial"/>
          <w:color w:val="000000"/>
          <w:lang w:eastAsia="it-IT"/>
        </w:rPr>
        <w:t xml:space="preserve"> L’esclusione dall’accesso al credito a fondo perduto è solo l’ultima dimostrazione di una disattenzione nei confronti di questo pezzo tanto significativo del mondo del lavoro. Anche per questo domani ci saranno gli Stati generali delle professioni. Un’occasione utile </w:t>
      </w:r>
      <w:r w:rsidR="00F91DED">
        <w:rPr>
          <w:rFonts w:ascii="Arial" w:eastAsia="Times New Roman" w:hAnsi="Arial" w:cs="Arial"/>
          <w:color w:val="000000"/>
          <w:lang w:eastAsia="it-IT"/>
        </w:rPr>
        <w:t>inoltre</w:t>
      </w:r>
      <w:r w:rsidR="00F91DED" w:rsidRPr="00F91DED">
        <w:rPr>
          <w:rFonts w:ascii="Arial" w:eastAsia="Times New Roman" w:hAnsi="Arial" w:cs="Arial"/>
          <w:color w:val="000000"/>
          <w:lang w:eastAsia="it-IT"/>
        </w:rPr>
        <w:t xml:space="preserve"> a sottolineare il grande contributo che il sistema ordinistico potrebbe fornire ad uno snellimento della burocrazia se si portasse a compimento il jobs act degli autonomi, che prevedeva di delegare alle professioni funzioni proprie della Pubblica amministrazione”. </w:t>
      </w:r>
    </w:p>
    <w:p w:rsidR="00232656" w:rsidRPr="00232656" w:rsidRDefault="00232656" w:rsidP="00232656">
      <w:pPr>
        <w:pStyle w:val="xmsonormal"/>
        <w:shd w:val="clear" w:color="auto" w:fill="FFFFFF"/>
        <w:spacing w:before="0" w:beforeAutospacing="0" w:after="0" w:afterAutospacing="0" w:line="233" w:lineRule="atLeast"/>
        <w:jc w:val="both"/>
        <w:rPr>
          <w:rFonts w:ascii="Arial" w:hAnsi="Arial" w:cs="Arial"/>
          <w:color w:val="201F1E"/>
          <w:sz w:val="22"/>
          <w:szCs w:val="22"/>
        </w:rPr>
      </w:pPr>
    </w:p>
    <w:p w:rsidR="009735BB" w:rsidRPr="00321838" w:rsidRDefault="00232656" w:rsidP="009735BB">
      <w:pPr>
        <w:rPr>
          <w:rFonts w:ascii="Arial" w:hAnsi="Arial" w:cs="Arial"/>
          <w:b/>
          <w:bCs/>
        </w:rPr>
      </w:pPr>
      <w:r w:rsidRPr="00232656">
        <w:rPr>
          <w:rFonts w:ascii="Arial" w:hAnsi="Arial" w:cs="Arial"/>
          <w:color w:val="201F1E"/>
          <w:sz w:val="22"/>
          <w:szCs w:val="22"/>
        </w:rPr>
        <w:t> </w:t>
      </w:r>
      <w:r w:rsidR="009735BB" w:rsidRPr="00321838">
        <w:rPr>
          <w:rFonts w:ascii="Arial" w:hAnsi="Arial" w:cs="Arial"/>
          <w:b/>
          <w:bCs/>
        </w:rPr>
        <w:t xml:space="preserve">Tabella 1. Occupati per profilo professionale. Anni 2007 e 2019 e </w:t>
      </w:r>
      <w:proofErr w:type="spellStart"/>
      <w:r w:rsidR="009735BB" w:rsidRPr="00321838">
        <w:rPr>
          <w:rFonts w:ascii="Arial" w:hAnsi="Arial" w:cs="Arial"/>
          <w:b/>
          <w:bCs/>
        </w:rPr>
        <w:t>var</w:t>
      </w:r>
      <w:proofErr w:type="spellEnd"/>
      <w:r w:rsidR="009735BB" w:rsidRPr="00321838">
        <w:rPr>
          <w:rFonts w:ascii="Arial" w:hAnsi="Arial" w:cs="Arial"/>
          <w:b/>
          <w:bCs/>
        </w:rPr>
        <w:t xml:space="preserve">. %. Dati in </w:t>
      </w:r>
      <w:proofErr w:type="spellStart"/>
      <w:r w:rsidR="009735BB" w:rsidRPr="00321838">
        <w:rPr>
          <w:rFonts w:ascii="Arial" w:hAnsi="Arial" w:cs="Arial"/>
          <w:b/>
          <w:bCs/>
        </w:rPr>
        <w:t>mgl</w:t>
      </w:r>
      <w:proofErr w:type="spellEnd"/>
      <w:r w:rsidR="009735BB" w:rsidRPr="00321838">
        <w:rPr>
          <w:rFonts w:ascii="Arial" w:hAnsi="Arial" w:cs="Arial"/>
          <w:b/>
          <w:bCs/>
        </w:rPr>
        <w:t>.</w:t>
      </w:r>
    </w:p>
    <w:tbl>
      <w:tblPr>
        <w:tblW w:w="0" w:type="auto"/>
        <w:tblCellMar>
          <w:left w:w="70" w:type="dxa"/>
          <w:right w:w="70" w:type="dxa"/>
        </w:tblCellMar>
        <w:tblLook w:val="04A0" w:firstRow="1" w:lastRow="0" w:firstColumn="1" w:lastColumn="0" w:noHBand="0" w:noVBand="1"/>
      </w:tblPr>
      <w:tblGrid>
        <w:gridCol w:w="2581"/>
        <w:gridCol w:w="875"/>
        <w:gridCol w:w="875"/>
        <w:gridCol w:w="961"/>
      </w:tblGrid>
      <w:tr w:rsidR="009735BB" w:rsidRPr="00321838" w:rsidTr="00B27A52">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735BB" w:rsidRPr="00321838" w:rsidRDefault="009735BB" w:rsidP="00B27A52">
            <w:pPr>
              <w:rPr>
                <w:rFonts w:ascii="Arial" w:eastAsia="Times New Roman" w:hAnsi="Arial" w:cs="Arial"/>
                <w:b/>
                <w:bCs/>
                <w:lang w:eastAsia="it-IT"/>
              </w:rPr>
            </w:pPr>
            <w:r w:rsidRPr="00321838">
              <w:rPr>
                <w:rFonts w:ascii="Arial" w:eastAsia="Times New Roman" w:hAnsi="Arial" w:cs="Arial"/>
                <w:b/>
                <w:bCs/>
                <w:lang w:eastAsia="it-IT"/>
              </w:rPr>
              <w:t>Profilo professionale</w:t>
            </w:r>
          </w:p>
        </w:tc>
        <w:tc>
          <w:tcPr>
            <w:tcW w:w="0" w:type="auto"/>
            <w:tcBorders>
              <w:top w:val="single" w:sz="4" w:space="0" w:color="auto"/>
              <w:left w:val="nil"/>
              <w:bottom w:val="single" w:sz="4" w:space="0" w:color="auto"/>
              <w:right w:val="single" w:sz="4" w:space="0" w:color="auto"/>
            </w:tcBorders>
            <w:shd w:val="clear" w:color="auto" w:fill="auto"/>
            <w:hideMark/>
          </w:tcPr>
          <w:p w:rsidR="009735BB" w:rsidRPr="00321838" w:rsidRDefault="009735BB" w:rsidP="00B27A52">
            <w:pPr>
              <w:jc w:val="center"/>
              <w:rPr>
                <w:rFonts w:ascii="Arial" w:eastAsia="Times New Roman" w:hAnsi="Arial" w:cs="Arial"/>
                <w:b/>
                <w:bCs/>
                <w:lang w:eastAsia="it-IT"/>
              </w:rPr>
            </w:pPr>
            <w:r w:rsidRPr="00321838">
              <w:rPr>
                <w:rFonts w:ascii="Arial" w:eastAsia="Times New Roman" w:hAnsi="Arial" w:cs="Arial"/>
                <w:b/>
                <w:bCs/>
                <w:lang w:eastAsia="it-IT"/>
              </w:rPr>
              <w:t>2007</w:t>
            </w:r>
          </w:p>
        </w:tc>
        <w:tc>
          <w:tcPr>
            <w:tcW w:w="0" w:type="auto"/>
            <w:tcBorders>
              <w:top w:val="single" w:sz="4" w:space="0" w:color="auto"/>
              <w:left w:val="nil"/>
              <w:bottom w:val="single" w:sz="4" w:space="0" w:color="auto"/>
              <w:right w:val="single" w:sz="4" w:space="0" w:color="auto"/>
            </w:tcBorders>
            <w:shd w:val="clear" w:color="auto" w:fill="auto"/>
            <w:hideMark/>
          </w:tcPr>
          <w:p w:rsidR="009735BB" w:rsidRPr="00321838" w:rsidRDefault="009735BB" w:rsidP="00B27A52">
            <w:pPr>
              <w:jc w:val="center"/>
              <w:rPr>
                <w:rFonts w:ascii="Arial" w:eastAsia="Times New Roman" w:hAnsi="Arial" w:cs="Arial"/>
                <w:b/>
                <w:bCs/>
                <w:lang w:eastAsia="it-IT"/>
              </w:rPr>
            </w:pPr>
            <w:r w:rsidRPr="00321838">
              <w:rPr>
                <w:rFonts w:ascii="Arial" w:eastAsia="Times New Roman" w:hAnsi="Arial" w:cs="Arial"/>
                <w:b/>
                <w:bCs/>
                <w:lang w:eastAsia="it-IT"/>
              </w:rPr>
              <w:t>2019</w:t>
            </w:r>
          </w:p>
        </w:tc>
        <w:tc>
          <w:tcPr>
            <w:tcW w:w="0" w:type="auto"/>
            <w:tcBorders>
              <w:top w:val="single" w:sz="4" w:space="0" w:color="auto"/>
              <w:left w:val="nil"/>
              <w:bottom w:val="single" w:sz="4" w:space="0" w:color="auto"/>
              <w:right w:val="single" w:sz="4" w:space="0" w:color="auto"/>
            </w:tcBorders>
            <w:shd w:val="clear" w:color="auto" w:fill="auto"/>
            <w:hideMark/>
          </w:tcPr>
          <w:p w:rsidR="009735BB" w:rsidRPr="00321838" w:rsidRDefault="009735BB" w:rsidP="00B27A52">
            <w:pPr>
              <w:jc w:val="center"/>
              <w:rPr>
                <w:rFonts w:ascii="Arial" w:eastAsia="Times New Roman" w:hAnsi="Arial" w:cs="Arial"/>
                <w:b/>
                <w:bCs/>
                <w:lang w:eastAsia="it-IT"/>
              </w:rPr>
            </w:pPr>
            <w:proofErr w:type="spellStart"/>
            <w:r w:rsidRPr="00321838">
              <w:rPr>
                <w:rFonts w:ascii="Arial" w:eastAsia="Times New Roman" w:hAnsi="Arial" w:cs="Arial"/>
                <w:b/>
                <w:bCs/>
                <w:lang w:eastAsia="it-IT"/>
              </w:rPr>
              <w:t>Var</w:t>
            </w:r>
            <w:proofErr w:type="spellEnd"/>
            <w:r w:rsidRPr="00321838">
              <w:rPr>
                <w:rFonts w:ascii="Arial" w:eastAsia="Times New Roman" w:hAnsi="Arial" w:cs="Arial"/>
                <w:b/>
                <w:bCs/>
                <w:lang w:eastAsia="it-IT"/>
              </w:rPr>
              <w:t>. %</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TOTALE OCCUPATI</w:t>
            </w:r>
          </w:p>
        </w:tc>
        <w:tc>
          <w:tcPr>
            <w:tcW w:w="0" w:type="auto"/>
            <w:tcBorders>
              <w:top w:val="nil"/>
              <w:left w:val="nil"/>
              <w:bottom w:val="single" w:sz="4" w:space="0" w:color="auto"/>
              <w:right w:val="single" w:sz="4" w:space="0" w:color="auto"/>
            </w:tcBorders>
            <w:shd w:val="clear" w:color="auto" w:fill="auto"/>
            <w:noWrap/>
            <w:vAlign w:val="bottom"/>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22.894 </w:t>
            </w:r>
          </w:p>
        </w:tc>
        <w:tc>
          <w:tcPr>
            <w:tcW w:w="0" w:type="auto"/>
            <w:tcBorders>
              <w:top w:val="nil"/>
              <w:left w:val="nil"/>
              <w:bottom w:val="single" w:sz="4" w:space="0" w:color="auto"/>
              <w:right w:val="single" w:sz="4" w:space="0" w:color="auto"/>
            </w:tcBorders>
            <w:shd w:val="clear" w:color="auto" w:fill="auto"/>
            <w:noWrap/>
            <w:vAlign w:val="bottom"/>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23.360 </w:t>
            </w:r>
          </w:p>
        </w:tc>
        <w:tc>
          <w:tcPr>
            <w:tcW w:w="0" w:type="auto"/>
            <w:tcBorders>
              <w:top w:val="nil"/>
              <w:left w:val="nil"/>
              <w:bottom w:val="single" w:sz="4" w:space="0" w:color="auto"/>
              <w:right w:val="single" w:sz="4" w:space="0" w:color="auto"/>
            </w:tcBorders>
            <w:shd w:val="clear" w:color="auto" w:fill="auto"/>
            <w:noWrap/>
            <w:vAlign w:val="bottom"/>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+2,0%</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di cui DIPENDENTI</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16.913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18.048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+6,7%</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di cui INDIPENDENTI</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5.981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5.312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-11,2%</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Imprenditore</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316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272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-13,9%</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Libero professionista</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1.125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1.436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+27,6%</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Lavoratore in proprio</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3.595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3.057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-15,0%</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Coadiuvante familiare</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418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299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-28,6%</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Socio di cooperativa</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47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30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-37,2%</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Collaboratore</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479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219 </w:t>
            </w:r>
          </w:p>
        </w:tc>
        <w:tc>
          <w:tcPr>
            <w:tcW w:w="0" w:type="auto"/>
            <w:tcBorders>
              <w:top w:val="nil"/>
              <w:left w:val="nil"/>
              <w:bottom w:val="single" w:sz="4" w:space="0" w:color="auto"/>
              <w:right w:val="single" w:sz="4" w:space="0" w:color="auto"/>
            </w:tcBorders>
            <w:shd w:val="clear" w:color="auto" w:fill="auto"/>
            <w:noWrap/>
            <w:vAlign w:val="bottom"/>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-54,3%</w:t>
            </w:r>
          </w:p>
        </w:tc>
      </w:tr>
    </w:tbl>
    <w:p w:rsidR="009735BB" w:rsidRPr="00321838" w:rsidRDefault="009735BB" w:rsidP="009735BB">
      <w:pPr>
        <w:rPr>
          <w:rFonts w:ascii="Arial" w:hAnsi="Arial" w:cs="Arial"/>
          <w:sz w:val="18"/>
          <w:szCs w:val="18"/>
        </w:rPr>
      </w:pPr>
      <w:r w:rsidRPr="00321838">
        <w:rPr>
          <w:rFonts w:ascii="Arial" w:hAnsi="Arial" w:cs="Arial"/>
          <w:sz w:val="18"/>
          <w:szCs w:val="18"/>
        </w:rPr>
        <w:t>Fonte: Elaborazione FNC su dati Istat, Forze di Lavoro. Dati estratt</w:t>
      </w:r>
      <w:r w:rsidR="00053ACE">
        <w:rPr>
          <w:rFonts w:ascii="Arial" w:hAnsi="Arial" w:cs="Arial"/>
          <w:sz w:val="18"/>
          <w:szCs w:val="18"/>
        </w:rPr>
        <w:t>i</w:t>
      </w:r>
      <w:r w:rsidRPr="00321838">
        <w:rPr>
          <w:rFonts w:ascii="Arial" w:hAnsi="Arial" w:cs="Arial"/>
          <w:sz w:val="18"/>
          <w:szCs w:val="18"/>
        </w:rPr>
        <w:t xml:space="preserve"> il 1</w:t>
      </w:r>
      <w:r w:rsidR="00053ACE">
        <w:rPr>
          <w:rFonts w:ascii="Arial" w:hAnsi="Arial" w:cs="Arial"/>
          <w:sz w:val="18"/>
          <w:szCs w:val="18"/>
        </w:rPr>
        <w:t>°</w:t>
      </w:r>
      <w:r w:rsidRPr="00321838">
        <w:rPr>
          <w:rFonts w:ascii="Arial" w:hAnsi="Arial" w:cs="Arial"/>
          <w:sz w:val="18"/>
          <w:szCs w:val="18"/>
        </w:rPr>
        <w:t xml:space="preserve"> giugno da Istat. </w:t>
      </w:r>
    </w:p>
    <w:p w:rsidR="009735BB" w:rsidRPr="00321838" w:rsidRDefault="009735BB" w:rsidP="009735BB">
      <w:pPr>
        <w:rPr>
          <w:rFonts w:ascii="Arial" w:hAnsi="Arial" w:cs="Arial"/>
        </w:rPr>
      </w:pPr>
    </w:p>
    <w:p w:rsidR="009735BB" w:rsidRPr="00321838" w:rsidRDefault="009735BB" w:rsidP="009735BB">
      <w:pPr>
        <w:rPr>
          <w:rFonts w:ascii="Arial" w:hAnsi="Arial" w:cs="Arial"/>
          <w:b/>
          <w:bCs/>
        </w:rPr>
      </w:pPr>
    </w:p>
    <w:p w:rsidR="00163DE6" w:rsidRDefault="00163DE6" w:rsidP="009735BB">
      <w:pPr>
        <w:rPr>
          <w:rFonts w:ascii="Arial" w:hAnsi="Arial" w:cs="Arial"/>
          <w:b/>
          <w:bCs/>
        </w:rPr>
      </w:pPr>
    </w:p>
    <w:p w:rsidR="00163DE6" w:rsidRPr="00321838" w:rsidRDefault="00163DE6" w:rsidP="009735BB">
      <w:pPr>
        <w:rPr>
          <w:rFonts w:ascii="Arial" w:hAnsi="Arial" w:cs="Arial"/>
          <w:b/>
          <w:bCs/>
        </w:rPr>
      </w:pPr>
    </w:p>
    <w:p w:rsidR="009735BB" w:rsidRPr="00321838" w:rsidRDefault="009735BB" w:rsidP="009735BB">
      <w:pPr>
        <w:rPr>
          <w:rFonts w:ascii="Arial" w:hAnsi="Arial" w:cs="Arial"/>
          <w:b/>
          <w:bCs/>
        </w:rPr>
      </w:pPr>
    </w:p>
    <w:p w:rsidR="009735BB" w:rsidRPr="00321838" w:rsidRDefault="009735BB" w:rsidP="009735BB">
      <w:pPr>
        <w:rPr>
          <w:rFonts w:ascii="Arial" w:hAnsi="Arial" w:cs="Arial"/>
          <w:b/>
          <w:bCs/>
        </w:rPr>
      </w:pPr>
      <w:r w:rsidRPr="00321838">
        <w:rPr>
          <w:rFonts w:ascii="Arial" w:hAnsi="Arial" w:cs="Arial"/>
          <w:b/>
          <w:bCs/>
        </w:rPr>
        <w:t xml:space="preserve">Tabella 2. Valore aggiunto per occupato (valori concatenati anno 2015) per settori di attività. Anni 2007 e 2019 </w:t>
      </w:r>
    </w:p>
    <w:tbl>
      <w:tblPr>
        <w:tblW w:w="0" w:type="auto"/>
        <w:tblCellMar>
          <w:left w:w="70" w:type="dxa"/>
          <w:right w:w="70" w:type="dxa"/>
        </w:tblCellMar>
        <w:tblLook w:val="04A0" w:firstRow="1" w:lastRow="0" w:firstColumn="1" w:lastColumn="0" w:noHBand="0" w:noVBand="1"/>
      </w:tblPr>
      <w:tblGrid>
        <w:gridCol w:w="5751"/>
        <w:gridCol w:w="1008"/>
        <w:gridCol w:w="1008"/>
        <w:gridCol w:w="954"/>
        <w:gridCol w:w="901"/>
      </w:tblGrid>
      <w:tr w:rsidR="009735BB" w:rsidRPr="00321838" w:rsidTr="00B27A52">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735BB" w:rsidRPr="00321838" w:rsidRDefault="009735BB" w:rsidP="00B27A52">
            <w:pPr>
              <w:rPr>
                <w:rFonts w:ascii="Arial" w:eastAsia="Times New Roman" w:hAnsi="Arial" w:cs="Arial"/>
                <w:b/>
                <w:bCs/>
                <w:lang w:eastAsia="it-IT"/>
              </w:rPr>
            </w:pPr>
            <w:r w:rsidRPr="00321838">
              <w:rPr>
                <w:rFonts w:ascii="Arial" w:eastAsia="Times New Roman" w:hAnsi="Arial" w:cs="Arial"/>
                <w:b/>
                <w:bCs/>
                <w:lang w:eastAsia="it-IT"/>
              </w:rPr>
              <w:lastRenderedPageBreak/>
              <w:t>Settori di attività</w:t>
            </w:r>
          </w:p>
        </w:tc>
        <w:tc>
          <w:tcPr>
            <w:tcW w:w="0" w:type="auto"/>
            <w:tcBorders>
              <w:top w:val="single" w:sz="4" w:space="0" w:color="auto"/>
              <w:left w:val="nil"/>
              <w:bottom w:val="single" w:sz="4" w:space="0" w:color="auto"/>
              <w:right w:val="single" w:sz="4" w:space="0" w:color="auto"/>
            </w:tcBorders>
            <w:shd w:val="clear" w:color="auto" w:fill="auto"/>
            <w:hideMark/>
          </w:tcPr>
          <w:p w:rsidR="009735BB" w:rsidRPr="00321838" w:rsidRDefault="009735BB" w:rsidP="00B27A52">
            <w:pPr>
              <w:jc w:val="center"/>
              <w:rPr>
                <w:rFonts w:ascii="Arial" w:eastAsia="Times New Roman" w:hAnsi="Arial" w:cs="Arial"/>
                <w:b/>
                <w:bCs/>
                <w:lang w:eastAsia="it-IT"/>
              </w:rPr>
            </w:pPr>
            <w:r w:rsidRPr="00321838">
              <w:rPr>
                <w:rFonts w:ascii="Arial" w:eastAsia="Times New Roman" w:hAnsi="Arial" w:cs="Arial"/>
                <w:b/>
                <w:bCs/>
                <w:lang w:eastAsia="it-IT"/>
              </w:rPr>
              <w:t>2007</w:t>
            </w:r>
          </w:p>
        </w:tc>
        <w:tc>
          <w:tcPr>
            <w:tcW w:w="0" w:type="auto"/>
            <w:tcBorders>
              <w:top w:val="single" w:sz="4" w:space="0" w:color="auto"/>
              <w:left w:val="nil"/>
              <w:bottom w:val="single" w:sz="4" w:space="0" w:color="auto"/>
              <w:right w:val="single" w:sz="4" w:space="0" w:color="auto"/>
            </w:tcBorders>
            <w:shd w:val="clear" w:color="auto" w:fill="auto"/>
            <w:hideMark/>
          </w:tcPr>
          <w:p w:rsidR="009735BB" w:rsidRPr="00321838" w:rsidRDefault="009735BB" w:rsidP="00B27A52">
            <w:pPr>
              <w:jc w:val="center"/>
              <w:rPr>
                <w:rFonts w:ascii="Arial" w:eastAsia="Times New Roman" w:hAnsi="Arial" w:cs="Arial"/>
                <w:b/>
                <w:bCs/>
                <w:lang w:eastAsia="it-IT"/>
              </w:rPr>
            </w:pPr>
            <w:r w:rsidRPr="00321838">
              <w:rPr>
                <w:rFonts w:ascii="Arial" w:eastAsia="Times New Roman" w:hAnsi="Arial" w:cs="Arial"/>
                <w:b/>
                <w:bCs/>
                <w:lang w:eastAsia="it-IT"/>
              </w:rPr>
              <w:t>2019</w:t>
            </w:r>
          </w:p>
        </w:tc>
        <w:tc>
          <w:tcPr>
            <w:tcW w:w="0" w:type="auto"/>
            <w:tcBorders>
              <w:top w:val="single" w:sz="4" w:space="0" w:color="auto"/>
              <w:left w:val="nil"/>
              <w:bottom w:val="single" w:sz="4" w:space="0" w:color="auto"/>
              <w:right w:val="single" w:sz="4" w:space="0" w:color="auto"/>
            </w:tcBorders>
            <w:shd w:val="clear" w:color="auto" w:fill="auto"/>
            <w:hideMark/>
          </w:tcPr>
          <w:p w:rsidR="009735BB" w:rsidRPr="00321838" w:rsidRDefault="009735BB" w:rsidP="00B27A52">
            <w:pPr>
              <w:jc w:val="center"/>
              <w:rPr>
                <w:rFonts w:ascii="Arial" w:eastAsia="Times New Roman" w:hAnsi="Arial" w:cs="Arial"/>
                <w:b/>
                <w:bCs/>
                <w:lang w:eastAsia="it-IT"/>
              </w:rPr>
            </w:pPr>
            <w:proofErr w:type="spellStart"/>
            <w:r w:rsidRPr="00321838">
              <w:rPr>
                <w:rFonts w:ascii="Arial" w:eastAsia="Times New Roman" w:hAnsi="Arial" w:cs="Arial"/>
                <w:b/>
                <w:bCs/>
                <w:lang w:eastAsia="it-IT"/>
              </w:rPr>
              <w:t>Var</w:t>
            </w:r>
            <w:proofErr w:type="spellEnd"/>
            <w:r w:rsidRPr="00321838">
              <w:rPr>
                <w:rFonts w:ascii="Arial" w:eastAsia="Times New Roman" w:hAnsi="Arial" w:cs="Arial"/>
                <w:b/>
                <w:bCs/>
                <w:lang w:eastAsia="it-IT"/>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735BB" w:rsidRPr="00321838" w:rsidRDefault="009735BB" w:rsidP="00B27A52">
            <w:pPr>
              <w:rPr>
                <w:rFonts w:ascii="Arial" w:eastAsia="Times New Roman" w:hAnsi="Arial" w:cs="Arial"/>
                <w:b/>
                <w:bCs/>
                <w:lang w:eastAsia="it-IT"/>
              </w:rPr>
            </w:pPr>
            <w:proofErr w:type="spellStart"/>
            <w:r w:rsidRPr="00321838">
              <w:rPr>
                <w:rFonts w:ascii="Arial" w:eastAsia="Times New Roman" w:hAnsi="Arial" w:cs="Arial"/>
                <w:b/>
                <w:bCs/>
                <w:lang w:eastAsia="it-IT"/>
              </w:rPr>
              <w:t>Var</w:t>
            </w:r>
            <w:proofErr w:type="spellEnd"/>
            <w:r w:rsidRPr="00321838">
              <w:rPr>
                <w:rFonts w:ascii="Arial" w:eastAsia="Times New Roman" w:hAnsi="Arial" w:cs="Arial"/>
                <w:b/>
                <w:bCs/>
                <w:lang w:eastAsia="it-IT"/>
              </w:rPr>
              <w:t>. %</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TOTALE ATTIVITA’ ECONOMICHE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63.154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60.770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-2.384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-3,8%</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AGRICOLTURA, SILVICOLTURA E PESCA</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33.147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35.356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2.209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6,7%</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INDUSTRIA</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68.104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70.915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2.811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4,1%</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COSTRUZIONI</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54.322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44.045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-10.278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-18,9%</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SERVIZI</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64.579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61.091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-3.488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-5,4%</w:t>
            </w:r>
          </w:p>
        </w:tc>
      </w:tr>
      <w:tr w:rsidR="009735BB" w:rsidRPr="00321838" w:rsidTr="00B27A52">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Commercio all'ingrosso e al dettaglio, riparazione di autoveicoli e motocicli</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42.558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48.762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6.205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14,6%</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Trasporti e magazzinaggio</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81.926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73.365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-8.561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-10,4%</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Servizi di alloggio e di ristorazione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43.577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35.154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-8.423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-19,3%</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Servizi di informazione e comunicazione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89.113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90.190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1.076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1,2%</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Attività finanziarie e assicurative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116.172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130.075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13.902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12,0%</w:t>
            </w:r>
          </w:p>
        </w:tc>
      </w:tr>
      <w:tr w:rsidR="009735BB" w:rsidRPr="00321838" w:rsidTr="00B27A52">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b/>
                <w:bCs/>
                <w:lang w:eastAsia="it-IT"/>
              </w:rPr>
            </w:pPr>
            <w:r w:rsidRPr="00321838">
              <w:rPr>
                <w:rFonts w:ascii="Arial" w:eastAsia="Times New Roman" w:hAnsi="Arial" w:cs="Arial"/>
                <w:b/>
                <w:bCs/>
                <w:lang w:eastAsia="it-IT"/>
              </w:rPr>
              <w:t>Attività professionali, scientifiche e tecniche, amministrazione e servizi di supporto</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58.986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46.301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-12.686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-21,5%</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Attività professionali, scientifiche e tecniche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71.302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57.573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-13.729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-19,3%</w:t>
            </w:r>
          </w:p>
        </w:tc>
      </w:tr>
      <w:tr w:rsidR="009735BB" w:rsidRPr="00321838" w:rsidTr="00B27A52">
        <w:trPr>
          <w:trHeight w:val="840"/>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Attività legali e contabilità, attività di sedi centrali, consulenza gestionale, attività degli studi di architettura e d'ingegneria, collaudi e analisi tecniche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66.229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54.498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-11.731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-17,7%</w:t>
            </w:r>
          </w:p>
        </w:tc>
      </w:tr>
      <w:tr w:rsidR="009735BB" w:rsidRPr="00321838" w:rsidTr="00B27A52">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Attività legali e contabilità, attività di sedi centrali, consulenza gestionale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69.984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58.147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-11.837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-16,9%</w:t>
            </w:r>
          </w:p>
        </w:tc>
      </w:tr>
      <w:tr w:rsidR="009735BB" w:rsidRPr="00321838" w:rsidTr="00B27A52">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Attività degli studi di architettura e d'ingegneria, collaudi e analisi tecniche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58.184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46.337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-11.847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-20,4%</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Attività amministrative e di servizi di supporto</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42.425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33.146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 xml:space="preserve">-9.279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b/>
                <w:bCs/>
                <w:lang w:eastAsia="it-IT"/>
              </w:rPr>
            </w:pPr>
            <w:r w:rsidRPr="00321838">
              <w:rPr>
                <w:rFonts w:ascii="Arial" w:eastAsia="Times New Roman" w:hAnsi="Arial" w:cs="Arial"/>
                <w:b/>
                <w:bCs/>
                <w:lang w:eastAsia="it-IT"/>
              </w:rPr>
              <w:t>-21,9%</w:t>
            </w:r>
          </w:p>
        </w:tc>
      </w:tr>
      <w:tr w:rsidR="009735BB" w:rsidRPr="00321838" w:rsidTr="00B27A52">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Amministrazione pubblica e difesa, assicurazione sociale obbligatoria</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72.127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78.708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6.582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9,1%</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Istruzione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39.882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38.279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-1.603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-4,0%</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Sanità e assistenza sociale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55.559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45.243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-10.315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-18,6%</w:t>
            </w:r>
          </w:p>
        </w:tc>
      </w:tr>
      <w:tr w:rsidR="009735BB" w:rsidRPr="00321838" w:rsidTr="00B27A52">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Attività artistiche, di intrattenimento e divertimento, altre attività di servizi</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63.883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59.074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-4.809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-7,5%</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Attività artistiche, di intrattenimento e divertimento</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60.141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54.956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-5.184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-8,6%</w:t>
            </w:r>
          </w:p>
        </w:tc>
      </w:tr>
      <w:tr w:rsidR="009735BB" w:rsidRPr="00321838" w:rsidTr="00B27A52">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Altre attività di servizi</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39.306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37.402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-1.904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-4,8%</w:t>
            </w:r>
          </w:p>
        </w:tc>
      </w:tr>
      <w:tr w:rsidR="009735BB" w:rsidRPr="00321838" w:rsidTr="00B27A52">
        <w:trPr>
          <w:trHeight w:val="840"/>
        </w:trPr>
        <w:tc>
          <w:tcPr>
            <w:tcW w:w="0" w:type="auto"/>
            <w:tcBorders>
              <w:top w:val="nil"/>
              <w:left w:val="single" w:sz="4" w:space="0" w:color="auto"/>
              <w:bottom w:val="single" w:sz="4" w:space="0" w:color="auto"/>
              <w:right w:val="single" w:sz="4" w:space="0" w:color="auto"/>
            </w:tcBorders>
            <w:shd w:val="clear" w:color="auto" w:fill="auto"/>
            <w:hideMark/>
          </w:tcPr>
          <w:p w:rsidR="009735BB" w:rsidRPr="00321838" w:rsidRDefault="009735BB" w:rsidP="00B27A52">
            <w:pPr>
              <w:rPr>
                <w:rFonts w:ascii="Arial" w:eastAsia="Times New Roman" w:hAnsi="Arial" w:cs="Arial"/>
                <w:lang w:eastAsia="it-IT"/>
              </w:rPr>
            </w:pPr>
            <w:r w:rsidRPr="00321838">
              <w:rPr>
                <w:rFonts w:ascii="Arial" w:eastAsia="Times New Roman" w:hAnsi="Arial" w:cs="Arial"/>
                <w:lang w:eastAsia="it-IT"/>
              </w:rPr>
              <w:t>Attività di famiglie e convivenze come datori di lavoro per personale domestico, produzione di beni e servizi indifferenziati per uso proprio da parte di famiglie e convivenze</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12.689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11.631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 xml:space="preserve">-1.058 </w:t>
            </w:r>
          </w:p>
        </w:tc>
        <w:tc>
          <w:tcPr>
            <w:tcW w:w="0" w:type="auto"/>
            <w:tcBorders>
              <w:top w:val="nil"/>
              <w:left w:val="nil"/>
              <w:bottom w:val="single" w:sz="4" w:space="0" w:color="auto"/>
              <w:right w:val="single" w:sz="4" w:space="0" w:color="auto"/>
            </w:tcBorders>
            <w:shd w:val="clear" w:color="auto" w:fill="auto"/>
            <w:noWrap/>
            <w:vAlign w:val="center"/>
            <w:hideMark/>
          </w:tcPr>
          <w:p w:rsidR="009735BB" w:rsidRPr="00321838" w:rsidRDefault="009735BB" w:rsidP="00B27A52">
            <w:pPr>
              <w:jc w:val="right"/>
              <w:rPr>
                <w:rFonts w:ascii="Arial" w:eastAsia="Times New Roman" w:hAnsi="Arial" w:cs="Arial"/>
                <w:lang w:eastAsia="it-IT"/>
              </w:rPr>
            </w:pPr>
            <w:r w:rsidRPr="00321838">
              <w:rPr>
                <w:rFonts w:ascii="Arial" w:eastAsia="Times New Roman" w:hAnsi="Arial" w:cs="Arial"/>
                <w:lang w:eastAsia="it-IT"/>
              </w:rPr>
              <w:t>-8,3%</w:t>
            </w:r>
          </w:p>
        </w:tc>
      </w:tr>
    </w:tbl>
    <w:p w:rsidR="009735BB" w:rsidRPr="00321838" w:rsidRDefault="009735BB" w:rsidP="009735BB">
      <w:pPr>
        <w:jc w:val="both"/>
        <w:rPr>
          <w:rFonts w:ascii="Arial" w:hAnsi="Arial" w:cs="Arial"/>
          <w:sz w:val="18"/>
          <w:szCs w:val="18"/>
        </w:rPr>
      </w:pPr>
      <w:r w:rsidRPr="00321838">
        <w:rPr>
          <w:rFonts w:ascii="Arial" w:hAnsi="Arial" w:cs="Arial"/>
          <w:sz w:val="18"/>
          <w:szCs w:val="18"/>
        </w:rPr>
        <w:t>Fonte: Elaborazione FNC su dati Istat, Contabilità Nazionale. Dati estratti il 1</w:t>
      </w:r>
      <w:r w:rsidR="00053ACE">
        <w:rPr>
          <w:rFonts w:ascii="Arial" w:hAnsi="Arial" w:cs="Arial"/>
          <w:sz w:val="18"/>
          <w:szCs w:val="18"/>
        </w:rPr>
        <w:t>°</w:t>
      </w:r>
      <w:r w:rsidRPr="00321838">
        <w:rPr>
          <w:rFonts w:ascii="Arial" w:hAnsi="Arial" w:cs="Arial"/>
          <w:sz w:val="18"/>
          <w:szCs w:val="18"/>
        </w:rPr>
        <w:t xml:space="preserve"> giugno da I</w:t>
      </w:r>
      <w:bookmarkStart w:id="0" w:name="_GoBack"/>
      <w:bookmarkEnd w:id="0"/>
      <w:r w:rsidRPr="00321838">
        <w:rPr>
          <w:rFonts w:ascii="Arial" w:hAnsi="Arial" w:cs="Arial"/>
          <w:sz w:val="18"/>
          <w:szCs w:val="18"/>
        </w:rPr>
        <w:t xml:space="preserve">stat. Valore aggiunto a prezzi base. </w:t>
      </w:r>
    </w:p>
    <w:p w:rsidR="009735BB" w:rsidRPr="00321838" w:rsidRDefault="009735BB" w:rsidP="009735BB">
      <w:pPr>
        <w:rPr>
          <w:rFonts w:ascii="Arial" w:hAnsi="Arial" w:cs="Arial"/>
        </w:rPr>
      </w:pPr>
    </w:p>
    <w:p w:rsidR="009735BB" w:rsidRPr="00321838" w:rsidRDefault="009735BB" w:rsidP="009735BB">
      <w:pPr>
        <w:rPr>
          <w:rFonts w:ascii="Arial" w:hAnsi="Arial" w:cs="Arial"/>
        </w:rPr>
      </w:pPr>
    </w:p>
    <w:p w:rsidR="009735BB" w:rsidRPr="00321838" w:rsidRDefault="009735BB" w:rsidP="009735BB">
      <w:pPr>
        <w:spacing w:after="120" w:line="276" w:lineRule="auto"/>
        <w:jc w:val="both"/>
        <w:rPr>
          <w:rFonts w:ascii="Arial" w:eastAsia="MS Mincho" w:hAnsi="Arial" w:cs="Arial"/>
          <w:lang w:eastAsia="it-IT"/>
        </w:rPr>
      </w:pPr>
    </w:p>
    <w:p w:rsidR="009735BB" w:rsidRPr="00321838" w:rsidRDefault="009735BB" w:rsidP="009735BB">
      <w:pPr>
        <w:spacing w:after="120" w:line="276" w:lineRule="auto"/>
        <w:jc w:val="both"/>
        <w:rPr>
          <w:rFonts w:ascii="Arial" w:eastAsia="MS Mincho" w:hAnsi="Arial" w:cs="Arial"/>
          <w:lang w:eastAsia="it-IT"/>
        </w:rPr>
      </w:pPr>
    </w:p>
    <w:p w:rsidR="00232656" w:rsidRPr="00321838" w:rsidRDefault="00232656" w:rsidP="009735BB">
      <w:pPr>
        <w:pStyle w:val="NormaleWeb"/>
        <w:rPr>
          <w:rFonts w:ascii="Arial" w:hAnsi="Arial" w:cs="Arial"/>
          <w:color w:val="201F1E"/>
          <w:sz w:val="22"/>
          <w:szCs w:val="22"/>
        </w:rPr>
      </w:pPr>
    </w:p>
    <w:p w:rsidR="00B3271C" w:rsidRPr="00321838" w:rsidRDefault="00A56BF2">
      <w:pPr>
        <w:rPr>
          <w:rFonts w:ascii="Arial" w:hAnsi="Arial" w:cs="Arial"/>
        </w:rPr>
      </w:pPr>
    </w:p>
    <w:sectPr w:rsidR="00B3271C" w:rsidRPr="00321838"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BF2" w:rsidRDefault="00A56BF2" w:rsidP="00627996">
      <w:r>
        <w:separator/>
      </w:r>
    </w:p>
  </w:endnote>
  <w:endnote w:type="continuationSeparator" w:id="0">
    <w:p w:rsidR="00A56BF2" w:rsidRDefault="00A56BF2"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BF2" w:rsidRDefault="00A56BF2" w:rsidP="00627996">
      <w:r>
        <w:separator/>
      </w:r>
    </w:p>
  </w:footnote>
  <w:footnote w:type="continuationSeparator" w:id="0">
    <w:p w:rsidR="00A56BF2" w:rsidRDefault="00A56BF2"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627996">
    <w:pPr>
      <w:pStyle w:val="Intestazione"/>
    </w:pPr>
    <w:r w:rsidRPr="00A945F8">
      <w:rPr>
        <w:noProof/>
      </w:rPr>
      <w:drawing>
        <wp:inline distT="0" distB="0" distL="0" distR="0" wp14:anchorId="40129AC2" wp14:editId="24C7E031">
          <wp:extent cx="6116320" cy="970311"/>
          <wp:effectExtent l="0" t="0" r="0" b="1270"/>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53ACE"/>
    <w:rsid w:val="00163DE6"/>
    <w:rsid w:val="001B3759"/>
    <w:rsid w:val="001D0C92"/>
    <w:rsid w:val="00206248"/>
    <w:rsid w:val="00232656"/>
    <w:rsid w:val="002B1170"/>
    <w:rsid w:val="002B1507"/>
    <w:rsid w:val="002E31F2"/>
    <w:rsid w:val="00321838"/>
    <w:rsid w:val="003248FA"/>
    <w:rsid w:val="003C2FC0"/>
    <w:rsid w:val="00595991"/>
    <w:rsid w:val="00627996"/>
    <w:rsid w:val="00656CC5"/>
    <w:rsid w:val="00711F58"/>
    <w:rsid w:val="00734687"/>
    <w:rsid w:val="007574AF"/>
    <w:rsid w:val="009735BB"/>
    <w:rsid w:val="00981723"/>
    <w:rsid w:val="00986D90"/>
    <w:rsid w:val="009D1104"/>
    <w:rsid w:val="009F27EC"/>
    <w:rsid w:val="00A56BF2"/>
    <w:rsid w:val="00AC6BB0"/>
    <w:rsid w:val="00D0285A"/>
    <w:rsid w:val="00D41E98"/>
    <w:rsid w:val="00DB4B99"/>
    <w:rsid w:val="00E654EA"/>
    <w:rsid w:val="00F91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E65A"/>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xmsonormal">
    <w:name w:val="x_msonormal"/>
    <w:basedOn w:val="Normale"/>
    <w:rsid w:val="00232656"/>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5707">
      <w:bodyDiv w:val="1"/>
      <w:marLeft w:val="0"/>
      <w:marRight w:val="0"/>
      <w:marTop w:val="0"/>
      <w:marBottom w:val="0"/>
      <w:divBdr>
        <w:top w:val="none" w:sz="0" w:space="0" w:color="auto"/>
        <w:left w:val="none" w:sz="0" w:space="0" w:color="auto"/>
        <w:bottom w:val="none" w:sz="0" w:space="0" w:color="auto"/>
        <w:right w:val="none" w:sz="0" w:space="0" w:color="auto"/>
      </w:divBdr>
    </w:div>
    <w:div w:id="660159310">
      <w:bodyDiv w:val="1"/>
      <w:marLeft w:val="0"/>
      <w:marRight w:val="0"/>
      <w:marTop w:val="0"/>
      <w:marBottom w:val="0"/>
      <w:divBdr>
        <w:top w:val="none" w:sz="0" w:space="0" w:color="auto"/>
        <w:left w:val="none" w:sz="0" w:space="0" w:color="auto"/>
        <w:bottom w:val="none" w:sz="0" w:space="0" w:color="auto"/>
        <w:right w:val="none" w:sz="0" w:space="0" w:color="auto"/>
      </w:divBdr>
    </w:div>
    <w:div w:id="1337923553">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1270</Words>
  <Characters>7245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8</cp:revision>
  <dcterms:created xsi:type="dcterms:W3CDTF">2020-06-03T10:53:00Z</dcterms:created>
  <dcterms:modified xsi:type="dcterms:W3CDTF">2020-06-03T12:32:00Z</dcterms:modified>
</cp:coreProperties>
</file>