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1DA6A" w14:textId="77777777" w:rsidR="00E915D6" w:rsidRPr="00F30F63" w:rsidRDefault="00E915D6" w:rsidP="00F30F63">
      <w:pPr>
        <w:spacing w:after="0" w:line="240" w:lineRule="auto"/>
        <w:jc w:val="both"/>
        <w:rPr>
          <w:rFonts w:eastAsiaTheme="minorHAnsi"/>
          <w:color w:val="000000"/>
        </w:rPr>
      </w:pPr>
      <w:r w:rsidRPr="00F30F63">
        <w:rPr>
          <w:rFonts w:ascii="Arial" w:eastAsia="Times New Roman" w:hAnsi="Arial" w:cs="Arial"/>
          <w:b/>
          <w:bCs/>
          <w:color w:val="000000" w:themeColor="text1"/>
          <w:bdr w:val="none" w:sz="0" w:space="0" w:color="auto" w:frame="1"/>
        </w:rPr>
        <w:t>COMUNICATO STAMPA </w:t>
      </w:r>
      <w:r w:rsidRPr="00F30F63">
        <w:rPr>
          <w:rFonts w:eastAsia="Times New Roman"/>
          <w:color w:val="000000" w:themeColor="text1"/>
        </w:rPr>
        <w:t> </w:t>
      </w:r>
    </w:p>
    <w:p w14:paraId="7524CECD" w14:textId="34E4C2B1" w:rsidR="00E915D6" w:rsidRPr="00F30F63" w:rsidRDefault="00E915D6" w:rsidP="00F30F63">
      <w:pPr>
        <w:spacing w:after="0" w:line="240" w:lineRule="auto"/>
        <w:jc w:val="both"/>
        <w:rPr>
          <w:color w:val="000000"/>
        </w:rPr>
      </w:pPr>
    </w:p>
    <w:p w14:paraId="201E7474" w14:textId="77777777" w:rsidR="00E915D6" w:rsidRPr="00F30F63" w:rsidRDefault="00E915D6" w:rsidP="00F30F63">
      <w:pPr>
        <w:shd w:val="clear" w:color="auto" w:fill="FFFFFF"/>
        <w:spacing w:after="0" w:line="240" w:lineRule="auto"/>
        <w:jc w:val="both"/>
        <w:rPr>
          <w:color w:val="000000"/>
        </w:rPr>
      </w:pPr>
      <w:r w:rsidRPr="00F30F63">
        <w:rPr>
          <w:rFonts w:ascii="Arial" w:eastAsia="Times New Roman" w:hAnsi="Arial" w:cs="Arial"/>
          <w:b/>
          <w:bCs/>
          <w:color w:val="000000" w:themeColor="text1"/>
          <w:bdr w:val="none" w:sz="0" w:space="0" w:color="auto" w:frame="1"/>
        </w:rPr>
        <w:t>GRANDI IMPRESE: COMMERCIALISTI, SEMPLIFICARE E VELOCIZZARE LA PROCEDURA DI INSOLVENZA </w:t>
      </w:r>
      <w:r w:rsidRPr="00F30F63">
        <w:rPr>
          <w:rFonts w:eastAsia="Times New Roman"/>
          <w:color w:val="000000" w:themeColor="text1"/>
        </w:rPr>
        <w:t> </w:t>
      </w:r>
    </w:p>
    <w:p w14:paraId="2CF965D9" w14:textId="77777777" w:rsidR="00E915D6" w:rsidRPr="00F30F63" w:rsidRDefault="00E915D6" w:rsidP="00F30F63">
      <w:pPr>
        <w:shd w:val="clear" w:color="auto" w:fill="FFFFFF"/>
        <w:spacing w:after="0" w:line="240" w:lineRule="auto"/>
        <w:jc w:val="both"/>
        <w:rPr>
          <w:color w:val="000000"/>
        </w:rPr>
      </w:pPr>
      <w:r w:rsidRPr="00F30F63">
        <w:rPr>
          <w:rFonts w:ascii="Arial" w:eastAsia="Times New Roman" w:hAnsi="Arial" w:cs="Arial"/>
          <w:b/>
          <w:bCs/>
          <w:color w:val="000000" w:themeColor="text1"/>
          <w:bdr w:val="none" w:sz="0" w:space="0" w:color="auto" w:frame="1"/>
        </w:rPr>
        <w:t>La categoria in audizione parlamentare: “Positiva la proposta di legge delega in materia, ma forti perplessità sull’istituzione dell’Albo dei commissari straordinari” </w:t>
      </w:r>
      <w:r w:rsidRPr="00F30F63">
        <w:rPr>
          <w:rFonts w:eastAsia="Times New Roman"/>
          <w:color w:val="000000" w:themeColor="text1"/>
        </w:rPr>
        <w:t> </w:t>
      </w:r>
    </w:p>
    <w:p w14:paraId="76C4EFE6" w14:textId="77777777" w:rsidR="00E915D6" w:rsidRPr="00F30F63" w:rsidRDefault="00E915D6" w:rsidP="00F30F63">
      <w:pPr>
        <w:shd w:val="clear" w:color="auto" w:fill="FFFFFF"/>
        <w:spacing w:after="0" w:line="240" w:lineRule="auto"/>
        <w:jc w:val="both"/>
        <w:rPr>
          <w:color w:val="000000"/>
        </w:rPr>
      </w:pPr>
      <w:r w:rsidRPr="00F30F63">
        <w:rPr>
          <w:rFonts w:ascii="Arial" w:eastAsia="Times New Roman" w:hAnsi="Arial" w:cs="Arial"/>
          <w:color w:val="000000" w:themeColor="text1"/>
          <w:bdr w:val="none" w:sz="0" w:space="0" w:color="auto" w:frame="1"/>
        </w:rPr>
        <w:t> </w:t>
      </w:r>
      <w:r w:rsidRPr="00F30F63">
        <w:rPr>
          <w:rFonts w:eastAsia="Times New Roman"/>
          <w:color w:val="000000" w:themeColor="text1"/>
        </w:rPr>
        <w:t> </w:t>
      </w:r>
    </w:p>
    <w:p w14:paraId="7C3441FD" w14:textId="3AB74AAA" w:rsidR="00E915D6" w:rsidRPr="00F30F63" w:rsidRDefault="00E915D6" w:rsidP="00F30F63">
      <w:pPr>
        <w:spacing w:after="0" w:line="240" w:lineRule="auto"/>
        <w:jc w:val="both"/>
        <w:rPr>
          <w:color w:val="000000"/>
        </w:rPr>
      </w:pPr>
      <w:r w:rsidRPr="00F30F63">
        <w:rPr>
          <w:rFonts w:ascii="Arial" w:hAnsi="Arial" w:cs="Arial"/>
          <w:i/>
          <w:iCs/>
          <w:color w:val="000000"/>
          <w:bdr w:val="none" w:sz="0" w:space="0" w:color="auto" w:frame="1"/>
        </w:rPr>
        <w:t>Roma, 3 marzo 2021 - </w:t>
      </w:r>
      <w:r w:rsidRPr="00F30F63">
        <w:rPr>
          <w:rFonts w:ascii="Arial" w:hAnsi="Arial" w:cs="Arial"/>
          <w:color w:val="000000"/>
          <w:bdr w:val="none" w:sz="0" w:space="0" w:color="auto" w:frame="1"/>
        </w:rPr>
        <w:t>“La proposta di legge che delega il Governo per la riforma della disciplina delle </w:t>
      </w:r>
      <w:r w:rsidRPr="00F30F63">
        <w:rPr>
          <w:rFonts w:ascii="Arial" w:hAnsi="Arial" w:cs="Arial"/>
          <w:b/>
          <w:bCs/>
          <w:color w:val="000000"/>
          <w:bdr w:val="none" w:sz="0" w:space="0" w:color="auto" w:frame="1"/>
        </w:rPr>
        <w:t xml:space="preserve">procedure di amministrazione straordinaria delle grandi imprese in stato di </w:t>
      </w:r>
      <w:r w:rsidR="00757CE7">
        <w:rPr>
          <w:rFonts w:ascii="Arial" w:hAnsi="Arial" w:cs="Arial"/>
          <w:b/>
          <w:bCs/>
          <w:color w:val="000000"/>
          <w:bdr w:val="none" w:sz="0" w:space="0" w:color="auto" w:frame="1"/>
        </w:rPr>
        <w:t xml:space="preserve">insolvenza </w:t>
      </w:r>
      <w:r w:rsidRPr="00F30F63">
        <w:rPr>
          <w:rFonts w:ascii="Arial" w:hAnsi="Arial" w:cs="Arial"/>
          <w:color w:val="000000"/>
          <w:bdr w:val="none" w:sz="0" w:space="0" w:color="auto" w:frame="1"/>
        </w:rPr>
        <w:t>va colta con favore perché può portare alla </w:t>
      </w:r>
      <w:r w:rsidRPr="00F30F63">
        <w:rPr>
          <w:rFonts w:ascii="Arial" w:hAnsi="Arial" w:cs="Arial"/>
          <w:b/>
          <w:bCs/>
          <w:color w:val="000000"/>
          <w:bdr w:val="none" w:sz="0" w:space="0" w:color="auto" w:frame="1"/>
        </w:rPr>
        <w:t>razionalizzazione </w:t>
      </w:r>
      <w:r w:rsidRPr="00F30F63">
        <w:rPr>
          <w:rFonts w:ascii="Arial" w:hAnsi="Arial" w:cs="Arial"/>
          <w:color w:val="000000"/>
          <w:bdr w:val="none" w:sz="0" w:space="0" w:color="auto" w:frame="1"/>
        </w:rPr>
        <w:t xml:space="preserve">e </w:t>
      </w:r>
      <w:r w:rsidR="00F30F63">
        <w:rPr>
          <w:rFonts w:ascii="Arial" w:hAnsi="Arial" w:cs="Arial"/>
          <w:color w:val="000000"/>
          <w:bdr w:val="none" w:sz="0" w:space="0" w:color="auto" w:frame="1"/>
        </w:rPr>
        <w:t>alla</w:t>
      </w:r>
      <w:r w:rsidR="00F30F63">
        <w:rPr>
          <w:rFonts w:ascii="Arial" w:hAnsi="Arial" w:cs="Arial"/>
          <w:b/>
          <w:bCs/>
          <w:color w:val="000000"/>
          <w:bdr w:val="none" w:sz="0" w:space="0" w:color="auto" w:frame="1"/>
        </w:rPr>
        <w:t xml:space="preserve"> sistematizzazione</w:t>
      </w:r>
      <w:r w:rsidR="00F30F63">
        <w:rPr>
          <w:rFonts w:ascii="Arial" w:hAnsi="Arial" w:cs="Arial"/>
          <w:color w:val="000000"/>
          <w:bdr w:val="none" w:sz="0" w:space="0" w:color="auto" w:frame="1"/>
        </w:rPr>
        <w:t xml:space="preserve"> di una</w:t>
      </w:r>
      <w:r w:rsidRPr="00F30F63">
        <w:rPr>
          <w:rFonts w:ascii="Arial" w:hAnsi="Arial" w:cs="Arial"/>
          <w:color w:val="000000"/>
          <w:bdr w:val="none" w:sz="0" w:space="0" w:color="auto" w:frame="1"/>
        </w:rPr>
        <w:t xml:space="preserve"> normativa attualmente </w:t>
      </w:r>
      <w:r w:rsidRPr="00F30F63">
        <w:rPr>
          <w:rFonts w:ascii="Arial" w:hAnsi="Arial" w:cs="Arial"/>
          <w:b/>
          <w:bCs/>
          <w:color w:val="000000"/>
          <w:bdr w:val="none" w:sz="0" w:space="0" w:color="auto" w:frame="1"/>
        </w:rPr>
        <w:t>frammentata</w:t>
      </w:r>
      <w:r w:rsidRPr="00F30F63">
        <w:rPr>
          <w:rFonts w:ascii="Arial" w:hAnsi="Arial" w:cs="Arial"/>
          <w:color w:val="000000"/>
          <w:bdr w:val="none" w:sz="0" w:space="0" w:color="auto" w:frame="1"/>
        </w:rPr>
        <w:t> in differenti provvedimenti. La procedura di insolvenza</w:t>
      </w:r>
      <w:r w:rsidR="00757CE7">
        <w:rPr>
          <w:rFonts w:ascii="Arial" w:hAnsi="Arial" w:cs="Arial"/>
          <w:color w:val="000000"/>
          <w:bdr w:val="none" w:sz="0" w:space="0" w:color="auto" w:frame="1"/>
        </w:rPr>
        <w:t xml:space="preserve"> va </w:t>
      </w:r>
      <w:r w:rsidRPr="00F30F63">
        <w:rPr>
          <w:rFonts w:ascii="Arial" w:hAnsi="Arial" w:cs="Arial"/>
          <w:b/>
          <w:bCs/>
          <w:color w:val="000000"/>
          <w:bdr w:val="none" w:sz="0" w:space="0" w:color="auto" w:frame="1"/>
        </w:rPr>
        <w:t>semplificata </w:t>
      </w:r>
      <w:r w:rsidRPr="00F30F63">
        <w:rPr>
          <w:rFonts w:ascii="Arial" w:hAnsi="Arial" w:cs="Arial"/>
          <w:color w:val="000000"/>
          <w:bdr w:val="none" w:sz="0" w:space="0" w:color="auto" w:frame="1"/>
        </w:rPr>
        <w:t>e </w:t>
      </w:r>
      <w:r w:rsidRPr="00F30F63">
        <w:rPr>
          <w:rFonts w:ascii="Arial" w:hAnsi="Arial" w:cs="Arial"/>
          <w:b/>
          <w:bCs/>
          <w:color w:val="000000"/>
          <w:bdr w:val="none" w:sz="0" w:space="0" w:color="auto" w:frame="1"/>
        </w:rPr>
        <w:t>velocizzata</w:t>
      </w:r>
      <w:r w:rsidRPr="00F30F63">
        <w:rPr>
          <w:rFonts w:ascii="Arial" w:hAnsi="Arial" w:cs="Arial"/>
          <w:color w:val="000000"/>
          <w:bdr w:val="none" w:sz="0" w:space="0" w:color="auto" w:frame="1"/>
        </w:rPr>
        <w:t xml:space="preserve">”. </w:t>
      </w:r>
      <w:r w:rsidR="00F30F63">
        <w:rPr>
          <w:rFonts w:ascii="Arial" w:hAnsi="Arial" w:cs="Arial"/>
          <w:color w:val="000000"/>
          <w:bdr w:val="none" w:sz="0" w:space="0" w:color="auto" w:frame="1"/>
        </w:rPr>
        <w:t xml:space="preserve">È </w:t>
      </w:r>
      <w:r w:rsidRPr="00F30F63">
        <w:rPr>
          <w:rFonts w:ascii="Arial" w:hAnsi="Arial" w:cs="Arial"/>
          <w:color w:val="000000"/>
          <w:bdr w:val="none" w:sz="0" w:space="0" w:color="auto" w:frame="1"/>
        </w:rPr>
        <w:t xml:space="preserve">quanto affermato dal Consigliere nazionale dei </w:t>
      </w:r>
      <w:r w:rsidR="00F30F63">
        <w:rPr>
          <w:rFonts w:ascii="Arial" w:hAnsi="Arial" w:cs="Arial"/>
          <w:color w:val="000000"/>
          <w:bdr w:val="none" w:sz="0" w:space="0" w:color="auto" w:frame="1"/>
        </w:rPr>
        <w:t xml:space="preserve">commercialisti, </w:t>
      </w:r>
      <w:r w:rsidRPr="00F30F63">
        <w:rPr>
          <w:rFonts w:ascii="Arial" w:hAnsi="Arial" w:cs="Arial"/>
          <w:b/>
          <w:bCs/>
          <w:color w:val="000000"/>
          <w:bdr w:val="none" w:sz="0" w:space="0" w:color="auto" w:frame="1"/>
        </w:rPr>
        <w:t>Andrea Foschi</w:t>
      </w:r>
      <w:r w:rsidRPr="00F30F63">
        <w:rPr>
          <w:rFonts w:ascii="Arial" w:hAnsi="Arial" w:cs="Arial"/>
          <w:color w:val="000000"/>
          <w:bdr w:val="none" w:sz="0" w:space="0" w:color="auto" w:frame="1"/>
        </w:rPr>
        <w:t>, audito oggi dalla </w:t>
      </w:r>
      <w:r w:rsidRPr="00F30F63">
        <w:rPr>
          <w:rFonts w:ascii="Arial" w:eastAsia="Times New Roman" w:hAnsi="Arial" w:cs="Arial"/>
          <w:color w:val="000000" w:themeColor="text1"/>
          <w:bdr w:val="none" w:sz="0" w:space="0" w:color="auto" w:frame="1"/>
          <w:shd w:val="clear" w:color="auto" w:fill="FFFFFF"/>
        </w:rPr>
        <w:t>Commissione Attività produttive, commercio e turismo della Camera.  </w:t>
      </w:r>
    </w:p>
    <w:p w14:paraId="7BD4756D" w14:textId="77777777" w:rsidR="00E915D6" w:rsidRPr="00F30F63" w:rsidRDefault="00E915D6" w:rsidP="00F30F63">
      <w:pPr>
        <w:spacing w:after="0" w:line="240" w:lineRule="auto"/>
        <w:jc w:val="both"/>
        <w:rPr>
          <w:color w:val="000000"/>
        </w:rPr>
      </w:pPr>
      <w:r w:rsidRPr="00F30F63">
        <w:rPr>
          <w:rFonts w:eastAsia="Times New Roman"/>
          <w:color w:val="000000" w:themeColor="text1"/>
        </w:rPr>
        <w:t> </w:t>
      </w:r>
    </w:p>
    <w:p w14:paraId="5DE4D019" w14:textId="77777777" w:rsidR="00757CE7" w:rsidRDefault="00E915D6" w:rsidP="00F30F63">
      <w:pPr>
        <w:spacing w:after="0" w:line="240" w:lineRule="auto"/>
        <w:jc w:val="both"/>
        <w:rPr>
          <w:rFonts w:ascii="Arial" w:hAnsi="Arial" w:cs="Arial"/>
          <w:color w:val="000000"/>
          <w:bdr w:val="none" w:sz="0" w:space="0" w:color="auto" w:frame="1"/>
        </w:rPr>
      </w:pPr>
      <w:r w:rsidRPr="00F30F63">
        <w:rPr>
          <w:rFonts w:ascii="Arial" w:hAnsi="Arial" w:cs="Arial"/>
          <w:color w:val="000000"/>
          <w:bdr w:val="none" w:sz="0" w:space="0" w:color="auto" w:frame="1"/>
        </w:rPr>
        <w:t>“</w:t>
      </w:r>
      <w:r w:rsidR="00F30F63">
        <w:rPr>
          <w:rFonts w:ascii="Arial" w:hAnsi="Arial" w:cs="Arial"/>
          <w:color w:val="000000"/>
          <w:bdr w:val="none" w:sz="0" w:space="0" w:color="auto" w:frame="1"/>
        </w:rPr>
        <w:t xml:space="preserve">È </w:t>
      </w:r>
      <w:r w:rsidRPr="00F30F63">
        <w:rPr>
          <w:rFonts w:ascii="Arial" w:hAnsi="Arial" w:cs="Arial"/>
          <w:color w:val="000000"/>
          <w:bdr w:val="none" w:sz="0" w:space="0" w:color="auto" w:frame="1"/>
        </w:rPr>
        <w:t xml:space="preserve">evidente </w:t>
      </w:r>
      <w:r w:rsidR="00CC7959">
        <w:rPr>
          <w:rFonts w:ascii="Arial" w:hAnsi="Arial" w:cs="Arial"/>
          <w:color w:val="000000"/>
          <w:bdr w:val="none" w:sz="0" w:space="0" w:color="auto" w:frame="1"/>
        </w:rPr>
        <w:t>-</w:t>
      </w:r>
      <w:r w:rsidRPr="00F30F63">
        <w:rPr>
          <w:rFonts w:ascii="Arial" w:hAnsi="Arial" w:cs="Arial"/>
          <w:color w:val="000000"/>
          <w:bdr w:val="none" w:sz="0" w:space="0" w:color="auto" w:frame="1"/>
        </w:rPr>
        <w:t xml:space="preserve"> ha spiegato Foschi - la necessità di effettuare un intervento di </w:t>
      </w:r>
      <w:r w:rsidRPr="00F30F63">
        <w:rPr>
          <w:rFonts w:ascii="Arial" w:hAnsi="Arial" w:cs="Arial"/>
          <w:b/>
          <w:bCs/>
          <w:color w:val="000000"/>
          <w:bdr w:val="none" w:sz="0" w:space="0" w:color="auto" w:frame="1"/>
        </w:rPr>
        <w:t>riordino generale</w:t>
      </w:r>
      <w:r w:rsidRPr="00F30F63">
        <w:rPr>
          <w:rFonts w:ascii="Arial" w:hAnsi="Arial" w:cs="Arial"/>
          <w:color w:val="000000"/>
          <w:bdr w:val="none" w:sz="0" w:space="0" w:color="auto" w:frame="1"/>
        </w:rPr>
        <w:t xml:space="preserve"> della normativa e di attuare una riforma organica della procedura di amministrazione straordinaria ed in tal senso si muove il </w:t>
      </w:r>
      <w:r w:rsidR="00CC7959">
        <w:rPr>
          <w:rFonts w:ascii="Arial" w:hAnsi="Arial" w:cs="Arial"/>
          <w:color w:val="000000"/>
          <w:bdr w:val="none" w:sz="0" w:space="0" w:color="auto" w:frame="1"/>
        </w:rPr>
        <w:t>D</w:t>
      </w:r>
      <w:r w:rsidRPr="00F30F63">
        <w:rPr>
          <w:rFonts w:ascii="Arial" w:hAnsi="Arial" w:cs="Arial"/>
          <w:color w:val="000000"/>
          <w:bdr w:val="none" w:sz="0" w:space="0" w:color="auto" w:frame="1"/>
        </w:rPr>
        <w:t>dl in esame”. Secondo i commercialisti “la nuova disciplina dovrebbe indirizzarsi a </w:t>
      </w:r>
      <w:r w:rsidRPr="00F30F63">
        <w:rPr>
          <w:rFonts w:ascii="Arial" w:hAnsi="Arial" w:cs="Arial"/>
          <w:b/>
          <w:bCs/>
          <w:color w:val="000000"/>
          <w:bdr w:val="none" w:sz="0" w:space="0" w:color="auto" w:frame="1"/>
        </w:rPr>
        <w:t>imprese di dimensioni significative</w:t>
      </w:r>
      <w:r w:rsidRPr="00F30F63">
        <w:rPr>
          <w:rFonts w:ascii="Arial" w:hAnsi="Arial" w:cs="Arial"/>
          <w:color w:val="000000"/>
          <w:bdr w:val="none" w:sz="0" w:space="0" w:color="auto" w:frame="1"/>
        </w:rPr>
        <w:t xml:space="preserve">, il dissesto delle quali possa sensibilmente incidere sulla collettività, soprattutto sotto il profilo della tutela dei livelli occupazionali. Alcuni aspetti del </w:t>
      </w:r>
      <w:r w:rsidR="00CC7959">
        <w:rPr>
          <w:rFonts w:ascii="Arial" w:hAnsi="Arial" w:cs="Arial"/>
          <w:color w:val="000000"/>
          <w:bdr w:val="none" w:sz="0" w:space="0" w:color="auto" w:frame="1"/>
        </w:rPr>
        <w:t>D</w:t>
      </w:r>
      <w:r w:rsidRPr="00F30F63">
        <w:rPr>
          <w:rFonts w:ascii="Arial" w:hAnsi="Arial" w:cs="Arial"/>
          <w:color w:val="000000"/>
          <w:bdr w:val="none" w:sz="0" w:space="0" w:color="auto" w:frame="1"/>
        </w:rPr>
        <w:t>dl potrebbero essere migliorati e integrati con previsioni di </w:t>
      </w:r>
      <w:r w:rsidRPr="00F30F63">
        <w:rPr>
          <w:rFonts w:ascii="Arial" w:hAnsi="Arial" w:cs="Arial"/>
          <w:b/>
          <w:bCs/>
          <w:color w:val="000000"/>
          <w:bdr w:val="none" w:sz="0" w:space="0" w:color="auto" w:frame="1"/>
        </w:rPr>
        <w:t>maggior coerenza</w:t>
      </w:r>
      <w:r w:rsidRPr="00F30F63">
        <w:rPr>
          <w:rFonts w:ascii="Arial" w:hAnsi="Arial" w:cs="Arial"/>
          <w:color w:val="000000"/>
          <w:bdr w:val="none" w:sz="0" w:space="0" w:color="auto" w:frame="1"/>
        </w:rPr>
        <w:t> rispetto soprattutto al mutato contesto temporale e socioeconomico in cui oggi ci troviamo a operare a seguito della pandemia di </w:t>
      </w:r>
      <w:r w:rsidRPr="00F30F63">
        <w:rPr>
          <w:rFonts w:ascii="Arial" w:hAnsi="Arial" w:cs="Arial"/>
          <w:b/>
          <w:bCs/>
          <w:color w:val="000000"/>
          <w:bdr w:val="none" w:sz="0" w:space="0" w:color="auto" w:frame="1"/>
        </w:rPr>
        <w:t>Covid</w:t>
      </w:r>
      <w:r w:rsidR="00CC7959">
        <w:rPr>
          <w:rFonts w:ascii="Arial" w:hAnsi="Arial" w:cs="Arial"/>
          <w:b/>
          <w:bCs/>
          <w:color w:val="000000"/>
          <w:bdr w:val="none" w:sz="0" w:space="0" w:color="auto" w:frame="1"/>
        </w:rPr>
        <w:t>-</w:t>
      </w:r>
      <w:r w:rsidRPr="00F30F63">
        <w:rPr>
          <w:rFonts w:ascii="Arial" w:hAnsi="Arial" w:cs="Arial"/>
          <w:b/>
          <w:bCs/>
          <w:color w:val="000000"/>
          <w:bdr w:val="none" w:sz="0" w:space="0" w:color="auto" w:frame="1"/>
        </w:rPr>
        <w:t>19</w:t>
      </w:r>
      <w:r w:rsidRPr="00F30F63">
        <w:rPr>
          <w:rFonts w:ascii="Arial" w:hAnsi="Arial" w:cs="Arial"/>
          <w:color w:val="000000"/>
          <w:bdr w:val="none" w:sz="0" w:space="0" w:color="auto" w:frame="1"/>
        </w:rPr>
        <w:t> e dell’imminente entrata in vigore del </w:t>
      </w:r>
      <w:r w:rsidRPr="00F30F63">
        <w:rPr>
          <w:rFonts w:ascii="Arial" w:hAnsi="Arial" w:cs="Arial"/>
          <w:b/>
          <w:bCs/>
          <w:color w:val="000000"/>
          <w:bdr w:val="none" w:sz="0" w:space="0" w:color="auto" w:frame="1"/>
        </w:rPr>
        <w:t>Codice della crisi</w:t>
      </w:r>
      <w:r w:rsidRPr="00F30F63">
        <w:rPr>
          <w:rFonts w:ascii="Arial" w:hAnsi="Arial" w:cs="Arial"/>
          <w:color w:val="000000"/>
          <w:bdr w:val="none" w:sz="0" w:space="0" w:color="auto" w:frame="1"/>
        </w:rPr>
        <w:t>”.</w:t>
      </w:r>
    </w:p>
    <w:p w14:paraId="403A9229" w14:textId="77777777" w:rsidR="00757CE7" w:rsidRDefault="00757CE7" w:rsidP="00F30F63">
      <w:pPr>
        <w:spacing w:after="0" w:line="240" w:lineRule="auto"/>
        <w:jc w:val="both"/>
        <w:rPr>
          <w:rFonts w:ascii="Arial" w:hAnsi="Arial" w:cs="Arial"/>
          <w:color w:val="000000"/>
          <w:bdr w:val="none" w:sz="0" w:space="0" w:color="auto" w:frame="1"/>
        </w:rPr>
      </w:pPr>
    </w:p>
    <w:p w14:paraId="20A9D3CE" w14:textId="2E103E80" w:rsidR="00E915D6" w:rsidRPr="00F30F63" w:rsidRDefault="00E915D6" w:rsidP="00F30F63">
      <w:pPr>
        <w:spacing w:after="0" w:line="240" w:lineRule="auto"/>
        <w:jc w:val="both"/>
        <w:rPr>
          <w:color w:val="000000"/>
        </w:rPr>
      </w:pPr>
      <w:r w:rsidRPr="00F30F63">
        <w:rPr>
          <w:rFonts w:ascii="Arial" w:hAnsi="Arial" w:cs="Arial"/>
          <w:color w:val="000000"/>
          <w:bdr w:val="none" w:sz="0" w:space="0" w:color="auto" w:frame="1"/>
        </w:rPr>
        <w:t>I commercialisti giudicano “</w:t>
      </w:r>
      <w:r w:rsidRPr="00F30F63">
        <w:rPr>
          <w:rFonts w:ascii="Arial" w:hAnsi="Arial" w:cs="Arial"/>
          <w:b/>
          <w:bCs/>
          <w:color w:val="000000"/>
          <w:bdr w:val="none" w:sz="0" w:space="0" w:color="auto" w:frame="1"/>
        </w:rPr>
        <w:t>appropriata</w:t>
      </w:r>
      <w:r w:rsidRPr="00F30F63">
        <w:rPr>
          <w:rFonts w:ascii="Arial" w:hAnsi="Arial" w:cs="Arial"/>
          <w:color w:val="000000"/>
          <w:bdr w:val="none" w:sz="0" w:space="0" w:color="auto" w:frame="1"/>
        </w:rPr>
        <w:t> l’estensione dell’ambito applicativo del Codice della crisi a </w:t>
      </w:r>
      <w:r w:rsidRPr="00F30F63">
        <w:rPr>
          <w:rFonts w:ascii="Arial" w:hAnsi="Arial" w:cs="Arial"/>
          <w:b/>
          <w:bCs/>
          <w:color w:val="000000"/>
          <w:bdr w:val="none" w:sz="0" w:space="0" w:color="auto" w:frame="1"/>
        </w:rPr>
        <w:t>imprese che non presentino significativi profili dimensionali</w:t>
      </w:r>
      <w:r w:rsidRPr="00F30F63">
        <w:rPr>
          <w:rFonts w:ascii="Arial" w:hAnsi="Arial" w:cs="Arial"/>
          <w:color w:val="000000"/>
          <w:bdr w:val="none" w:sz="0" w:space="0" w:color="auto" w:frame="1"/>
        </w:rPr>
        <w:t xml:space="preserve">, considerate le opportunità, che non sono unicamente rappresentate dalla possibilità di accedere alla procedura di allerta, riconosciute dallo stesso Codice della crisi alle cosiddette imprese non minori”. La categoria ritiene quindi necessario “non un aumento della platea dei soggetti potenzialmente coinvolti, ma una </w:t>
      </w:r>
      <w:r w:rsidRPr="00F30F63">
        <w:rPr>
          <w:rFonts w:ascii="Arial" w:hAnsi="Arial" w:cs="Arial"/>
          <w:b/>
          <w:bCs/>
          <w:color w:val="000000"/>
          <w:bdr w:val="none" w:sz="0" w:space="0" w:color="auto" w:frame="1"/>
        </w:rPr>
        <w:t>riduzione</w:t>
      </w:r>
      <w:r w:rsidRPr="00F30F63">
        <w:rPr>
          <w:rFonts w:ascii="Arial" w:hAnsi="Arial" w:cs="Arial"/>
          <w:color w:val="000000"/>
          <w:bdr w:val="none" w:sz="0" w:space="0" w:color="auto" w:frame="1"/>
        </w:rPr>
        <w:t>, al fine di concentrare le forze su specifiche imprese degne delle</w:t>
      </w:r>
      <w:r w:rsidR="00CC7959">
        <w:rPr>
          <w:rFonts w:ascii="Arial" w:hAnsi="Arial" w:cs="Arial"/>
          <w:color w:val="000000"/>
          <w:bdr w:val="none" w:sz="0" w:space="0" w:color="auto" w:frame="1"/>
        </w:rPr>
        <w:t xml:space="preserve"> tutele di particolare interesse </w:t>
      </w:r>
      <w:r w:rsidRPr="00F30F63">
        <w:rPr>
          <w:rFonts w:ascii="Arial" w:hAnsi="Arial" w:cs="Arial"/>
          <w:color w:val="000000"/>
          <w:bdr w:val="none" w:sz="0" w:space="0" w:color="auto" w:frame="1"/>
        </w:rPr>
        <w:t>della collettività, obiettivo della amministrazione straordinaria”.  </w:t>
      </w:r>
      <w:r w:rsidRPr="00F30F63">
        <w:rPr>
          <w:rFonts w:ascii="Arial" w:eastAsia="Times New Roman" w:hAnsi="Arial" w:cs="Arial"/>
          <w:color w:val="000000" w:themeColor="text1"/>
          <w:bdr w:val="none" w:sz="0" w:space="0" w:color="auto" w:frame="1"/>
        </w:rPr>
        <w:t> </w:t>
      </w:r>
    </w:p>
    <w:p w14:paraId="2E2F4D65" w14:textId="77777777" w:rsidR="00E915D6" w:rsidRPr="00F30F63" w:rsidRDefault="00E915D6" w:rsidP="00F30F63">
      <w:pPr>
        <w:spacing w:after="0" w:line="240" w:lineRule="auto"/>
        <w:jc w:val="both"/>
        <w:rPr>
          <w:color w:val="000000"/>
        </w:rPr>
      </w:pPr>
      <w:r w:rsidRPr="00F30F63">
        <w:rPr>
          <w:rFonts w:ascii="Arial" w:eastAsia="Times New Roman" w:hAnsi="Arial" w:cs="Arial"/>
          <w:color w:val="000000" w:themeColor="text1"/>
          <w:bdr w:val="none" w:sz="0" w:space="0" w:color="auto" w:frame="1"/>
        </w:rPr>
        <w:t> </w:t>
      </w:r>
    </w:p>
    <w:p w14:paraId="67B8E113" w14:textId="311A2910" w:rsidR="00E915D6" w:rsidRPr="00F30F63" w:rsidRDefault="00E915D6" w:rsidP="00F30F63">
      <w:pPr>
        <w:shd w:val="clear" w:color="auto" w:fill="FFFFFF"/>
        <w:spacing w:after="0" w:line="240" w:lineRule="auto"/>
        <w:jc w:val="both"/>
        <w:rPr>
          <w:color w:val="000000"/>
        </w:rPr>
      </w:pPr>
      <w:r w:rsidRPr="00F30F63">
        <w:rPr>
          <w:rFonts w:ascii="Arial" w:hAnsi="Arial" w:cs="Arial"/>
          <w:color w:val="000000"/>
          <w:bdr w:val="none" w:sz="0" w:space="0" w:color="auto" w:frame="1"/>
        </w:rPr>
        <w:t>La categoria esprime poi “</w:t>
      </w:r>
      <w:r w:rsidRPr="00F30F63">
        <w:rPr>
          <w:rFonts w:ascii="Arial" w:hAnsi="Arial" w:cs="Arial"/>
          <w:b/>
          <w:bCs/>
          <w:color w:val="000000"/>
          <w:bdr w:val="none" w:sz="0" w:space="0" w:color="auto" w:frame="1"/>
        </w:rPr>
        <w:t>forti perplessità</w:t>
      </w:r>
      <w:r w:rsidRPr="00F30F63">
        <w:rPr>
          <w:rFonts w:ascii="Arial" w:hAnsi="Arial" w:cs="Arial"/>
          <w:color w:val="000000"/>
          <w:bdr w:val="none" w:sz="0" w:space="0" w:color="auto" w:frame="1"/>
        </w:rPr>
        <w:t>” sulla istituzione presso il Ministero dello sviluppo economico, </w:t>
      </w:r>
      <w:r w:rsidRPr="00F30F63">
        <w:rPr>
          <w:rFonts w:ascii="Arial" w:hAnsi="Arial" w:cs="Arial"/>
          <w:b/>
          <w:bCs/>
          <w:color w:val="000000"/>
          <w:bdr w:val="none" w:sz="0" w:space="0" w:color="auto" w:frame="1"/>
        </w:rPr>
        <w:t>dell’albo dei commissari straordinari</w:t>
      </w:r>
      <w:r w:rsidRPr="00F30F63">
        <w:rPr>
          <w:rFonts w:ascii="Arial" w:hAnsi="Arial" w:cs="Arial"/>
          <w:color w:val="000000"/>
          <w:bdr w:val="none" w:sz="0" w:space="0" w:color="auto" w:frame="1"/>
        </w:rPr>
        <w:t xml:space="preserve"> per l’amministrazione delle grandi imprese in stato di insolvenza.  “Innanzitutto </w:t>
      </w:r>
      <w:r w:rsidR="00757CE7">
        <w:rPr>
          <w:rFonts w:ascii="Arial" w:hAnsi="Arial" w:cs="Arial"/>
          <w:color w:val="000000"/>
          <w:bdr w:val="none" w:sz="0" w:space="0" w:color="auto" w:frame="1"/>
        </w:rPr>
        <w:t>-</w:t>
      </w:r>
      <w:r w:rsidRPr="00F30F63">
        <w:rPr>
          <w:rFonts w:ascii="Arial" w:hAnsi="Arial" w:cs="Arial"/>
          <w:color w:val="000000"/>
          <w:bdr w:val="none" w:sz="0" w:space="0" w:color="auto" w:frame="1"/>
        </w:rPr>
        <w:t xml:space="preserve"> ha affermato Foschi - per sua natura non dovrebbe trattarsi di Albo, bensì di </w:t>
      </w:r>
      <w:r w:rsidRPr="00F30F63">
        <w:rPr>
          <w:rFonts w:ascii="Arial" w:hAnsi="Arial" w:cs="Arial"/>
          <w:b/>
          <w:bCs/>
          <w:color w:val="000000"/>
          <w:bdr w:val="none" w:sz="0" w:space="0" w:color="auto" w:frame="1"/>
        </w:rPr>
        <w:t>Registro</w:t>
      </w:r>
      <w:r w:rsidRPr="00F30F63">
        <w:rPr>
          <w:rFonts w:ascii="Arial" w:hAnsi="Arial" w:cs="Arial"/>
          <w:color w:val="000000"/>
          <w:bdr w:val="none" w:sz="0" w:space="0" w:color="auto" w:frame="1"/>
        </w:rPr>
        <w:t>, in quanto Albo è terminologicamente riferito agli iscritti degli Ordini Professionali. In ogni modo, tale nuovo e ulteriore registro si porrebbe in una posizione di specialità rispetto agli albi professionali già istituiti ex lege, generando </w:t>
      </w:r>
      <w:r w:rsidRPr="00F30F63">
        <w:rPr>
          <w:rFonts w:ascii="Arial" w:hAnsi="Arial" w:cs="Arial"/>
          <w:b/>
          <w:bCs/>
          <w:color w:val="000000"/>
          <w:bdr w:val="none" w:sz="0" w:space="0" w:color="auto" w:frame="1"/>
        </w:rPr>
        <w:t>possibile confusione</w:t>
      </w:r>
      <w:r w:rsidRPr="00F30F63">
        <w:rPr>
          <w:rFonts w:ascii="Arial" w:hAnsi="Arial" w:cs="Arial"/>
          <w:color w:val="000000"/>
          <w:bdr w:val="none" w:sz="0" w:space="0" w:color="auto" w:frame="1"/>
        </w:rPr>
        <w:t> tra</w:t>
      </w:r>
      <w:r w:rsidR="00757CE7">
        <w:rPr>
          <w:rFonts w:ascii="Arial" w:hAnsi="Arial" w:cs="Arial"/>
          <w:color w:val="000000"/>
          <w:bdr w:val="none" w:sz="0" w:space="0" w:color="auto" w:frame="1"/>
        </w:rPr>
        <w:t xml:space="preserve"> professionalità </w:t>
      </w:r>
      <w:r w:rsidRPr="00F30F63">
        <w:rPr>
          <w:rFonts w:ascii="Arial" w:hAnsi="Arial" w:cs="Arial"/>
          <w:color w:val="000000"/>
          <w:bdr w:val="none" w:sz="0" w:space="0" w:color="auto" w:frame="1"/>
        </w:rPr>
        <w:t>specifiche previste dagli ordinamenti professionali e competenze vantate da quanti non sono iscritti negli albi professionali. Tale critica è dunque in primis terminologica, ma non si può negare che i termini sono </w:t>
      </w:r>
      <w:r w:rsidRPr="00F30F63">
        <w:rPr>
          <w:rFonts w:ascii="Arial" w:hAnsi="Arial" w:cs="Arial"/>
          <w:b/>
          <w:bCs/>
          <w:color w:val="000000"/>
          <w:bdr w:val="none" w:sz="0" w:space="0" w:color="auto" w:frame="1"/>
        </w:rPr>
        <w:t>sostanza</w:t>
      </w:r>
      <w:r w:rsidRPr="00F30F63">
        <w:rPr>
          <w:rFonts w:ascii="Arial" w:hAnsi="Arial" w:cs="Arial"/>
          <w:color w:val="000000"/>
          <w:bdr w:val="none" w:sz="0" w:space="0" w:color="auto" w:frame="1"/>
        </w:rPr>
        <w:t>, ed inoltre di </w:t>
      </w:r>
      <w:r w:rsidRPr="00F30F63">
        <w:rPr>
          <w:rFonts w:ascii="Arial" w:hAnsi="Arial" w:cs="Arial"/>
          <w:b/>
          <w:bCs/>
          <w:color w:val="000000"/>
          <w:bdr w:val="none" w:sz="0" w:space="0" w:color="auto" w:frame="1"/>
        </w:rPr>
        <w:t>merito</w:t>
      </w:r>
      <w:r w:rsidRPr="00F30F63">
        <w:rPr>
          <w:rFonts w:ascii="Arial" w:hAnsi="Arial" w:cs="Arial"/>
          <w:color w:val="000000"/>
          <w:bdr w:val="none" w:sz="0" w:space="0" w:color="auto" w:frame="1"/>
        </w:rPr>
        <w:t> laddove si intende creare degli specialisti, ma non partendo da una scrematura di una classe professionale”.  </w:t>
      </w:r>
      <w:r w:rsidRPr="00F30F63">
        <w:rPr>
          <w:rFonts w:ascii="Arial" w:eastAsia="Times New Roman" w:hAnsi="Arial" w:cs="Arial"/>
          <w:color w:val="000000"/>
          <w:bdr w:val="none" w:sz="0" w:space="0" w:color="auto" w:frame="1"/>
        </w:rPr>
        <w:t> </w:t>
      </w:r>
    </w:p>
    <w:p w14:paraId="3A9F7762" w14:textId="77777777" w:rsidR="00E915D6" w:rsidRPr="00F30F63" w:rsidRDefault="00E915D6" w:rsidP="00F30F63">
      <w:pPr>
        <w:shd w:val="clear" w:color="auto" w:fill="FFFFFF"/>
        <w:spacing w:after="0" w:line="240" w:lineRule="auto"/>
        <w:jc w:val="both"/>
        <w:rPr>
          <w:color w:val="000000"/>
        </w:rPr>
      </w:pPr>
      <w:r w:rsidRPr="00F30F63">
        <w:rPr>
          <w:rFonts w:eastAsia="Times New Roman"/>
          <w:color w:val="000000"/>
        </w:rPr>
        <w:t> </w:t>
      </w:r>
    </w:p>
    <w:p w14:paraId="12B3D082" w14:textId="45BEB689" w:rsidR="00E915D6" w:rsidRPr="00CC7959" w:rsidRDefault="00E915D6" w:rsidP="00F30F63">
      <w:pPr>
        <w:shd w:val="clear" w:color="auto" w:fill="FFFFFF"/>
        <w:spacing w:after="0" w:line="240" w:lineRule="auto"/>
        <w:jc w:val="both"/>
        <w:rPr>
          <w:rFonts w:ascii="Arial" w:hAnsi="Arial" w:cs="Arial"/>
          <w:color w:val="000000"/>
          <w:bdr w:val="none" w:sz="0" w:space="0" w:color="auto" w:frame="1"/>
        </w:rPr>
      </w:pPr>
      <w:r w:rsidRPr="00F30F63">
        <w:rPr>
          <w:rFonts w:ascii="Arial" w:hAnsi="Arial" w:cs="Arial"/>
          <w:color w:val="000000"/>
          <w:bdr w:val="none" w:sz="0" w:space="0" w:color="auto" w:frame="1"/>
        </w:rPr>
        <w:t>Secondo Foschi “potrebbe invece risultare </w:t>
      </w:r>
      <w:r w:rsidRPr="00F30F63">
        <w:rPr>
          <w:rFonts w:ascii="Arial" w:hAnsi="Arial" w:cs="Arial"/>
          <w:b/>
          <w:bCs/>
          <w:color w:val="000000"/>
          <w:bdr w:val="none" w:sz="0" w:space="0" w:color="auto" w:frame="1"/>
        </w:rPr>
        <w:t>opportuna</w:t>
      </w:r>
      <w:r w:rsidRPr="00F30F63">
        <w:rPr>
          <w:rFonts w:ascii="Arial" w:hAnsi="Arial" w:cs="Arial"/>
          <w:color w:val="000000"/>
          <w:bdr w:val="none" w:sz="0" w:space="0" w:color="auto" w:frame="1"/>
        </w:rPr>
        <w:t> la futura istituzione presso il Ministero di un </w:t>
      </w:r>
      <w:r w:rsidRPr="00F30F63">
        <w:rPr>
          <w:rFonts w:ascii="Arial" w:hAnsi="Arial" w:cs="Arial"/>
          <w:b/>
          <w:bCs/>
          <w:color w:val="000000"/>
          <w:bdr w:val="none" w:sz="0" w:space="0" w:color="auto" w:frame="1"/>
        </w:rPr>
        <w:t>elenco</w:t>
      </w:r>
      <w:r w:rsidRPr="00F30F63">
        <w:rPr>
          <w:rFonts w:ascii="Arial" w:hAnsi="Arial" w:cs="Arial"/>
          <w:color w:val="000000"/>
          <w:bdr w:val="none" w:sz="0" w:space="0" w:color="auto" w:frame="1"/>
        </w:rPr>
        <w:t> in cui annotare gli incarichi assegnati ai professionisti, in possesso di </w:t>
      </w:r>
      <w:r w:rsidRPr="00F30F63">
        <w:rPr>
          <w:rFonts w:ascii="Arial" w:hAnsi="Arial" w:cs="Arial"/>
          <w:b/>
          <w:bCs/>
          <w:color w:val="000000"/>
          <w:bdr w:val="none" w:sz="0" w:space="0" w:color="auto" w:frame="1"/>
        </w:rPr>
        <w:t>precipue competenze tecniche</w:t>
      </w:r>
      <w:r w:rsidRPr="00F30F63">
        <w:rPr>
          <w:rFonts w:ascii="Arial" w:hAnsi="Arial" w:cs="Arial"/>
          <w:color w:val="000000"/>
          <w:bdr w:val="none" w:sz="0" w:space="0" w:color="auto" w:frame="1"/>
        </w:rPr>
        <w:t>, per consentire il monitoraggio della </w:t>
      </w:r>
      <w:r w:rsidRPr="00F30F63">
        <w:rPr>
          <w:rFonts w:ascii="Arial" w:hAnsi="Arial" w:cs="Arial"/>
          <w:b/>
          <w:bCs/>
          <w:color w:val="000000"/>
          <w:bdr w:val="none" w:sz="0" w:space="0" w:color="auto" w:frame="1"/>
        </w:rPr>
        <w:t xml:space="preserve">distribuzione degli </w:t>
      </w:r>
      <w:r w:rsidR="00CC7959">
        <w:rPr>
          <w:rFonts w:ascii="Arial" w:hAnsi="Arial" w:cs="Arial"/>
          <w:b/>
          <w:bCs/>
          <w:color w:val="000000"/>
          <w:bdr w:val="none" w:sz="0" w:space="0" w:color="auto" w:frame="1"/>
        </w:rPr>
        <w:t xml:space="preserve">incarichi </w:t>
      </w:r>
      <w:r w:rsidR="00CC7959">
        <w:rPr>
          <w:rFonts w:ascii="Arial" w:hAnsi="Arial" w:cs="Arial"/>
          <w:color w:val="000000"/>
          <w:bdr w:val="none" w:sz="0" w:space="0" w:color="auto" w:frame="1"/>
        </w:rPr>
        <w:t>medesimi, in</w:t>
      </w:r>
      <w:r w:rsidRPr="00F30F63">
        <w:rPr>
          <w:rFonts w:ascii="Arial" w:hAnsi="Arial" w:cs="Arial"/>
          <w:color w:val="000000"/>
          <w:bdr w:val="none" w:sz="0" w:space="0" w:color="auto" w:frame="1"/>
        </w:rPr>
        <w:t xml:space="preserve"> considerazione della necessità di garantire il rispetto di modalità di nomina dei commissari improntati a trasparenza, equa distribuzione ed effettiva rotazione. In tal senso è apprezzata la disposizione che limita ad </w:t>
      </w:r>
      <w:r w:rsidRPr="00F30F63">
        <w:rPr>
          <w:rFonts w:ascii="Arial" w:hAnsi="Arial" w:cs="Arial"/>
          <w:b/>
          <w:bCs/>
          <w:color w:val="000000"/>
          <w:bdr w:val="none" w:sz="0" w:space="0" w:color="auto" w:frame="1"/>
        </w:rPr>
        <w:t>uno soltanto</w:t>
      </w:r>
      <w:r w:rsidRPr="00F30F63">
        <w:rPr>
          <w:rFonts w:ascii="Arial" w:hAnsi="Arial" w:cs="Arial"/>
          <w:color w:val="000000"/>
          <w:bdr w:val="none" w:sz="0" w:space="0" w:color="auto" w:frame="1"/>
        </w:rPr>
        <w:t> gli incarichi assumibili contemporaneamente. In alternativa, laddove dovesse comunque prevalere la volontà di istituire il nuovo albo dei commissari straordinari, riteniamo che potrebbe essere ragionevole consentire </w:t>
      </w:r>
      <w:r w:rsidRPr="00F30F63">
        <w:rPr>
          <w:rFonts w:ascii="Arial" w:hAnsi="Arial" w:cs="Arial"/>
          <w:b/>
          <w:bCs/>
          <w:color w:val="000000"/>
          <w:bdr w:val="none" w:sz="0" w:space="0" w:color="auto" w:frame="1"/>
        </w:rPr>
        <w:t>l’iscrizione di diritto</w:t>
      </w:r>
      <w:r w:rsidRPr="00F30F63">
        <w:rPr>
          <w:rFonts w:ascii="Arial" w:hAnsi="Arial" w:cs="Arial"/>
          <w:color w:val="000000"/>
          <w:bdr w:val="none" w:sz="0" w:space="0" w:color="auto" w:frame="1"/>
        </w:rPr>
        <w:t> a quanti risultino già iscritti nell’</w:t>
      </w:r>
      <w:r w:rsidRPr="00F30F63">
        <w:rPr>
          <w:rFonts w:ascii="Arial" w:hAnsi="Arial" w:cs="Arial"/>
          <w:b/>
          <w:bCs/>
          <w:color w:val="000000"/>
          <w:bdr w:val="none" w:sz="0" w:space="0" w:color="auto" w:frame="1"/>
        </w:rPr>
        <w:t>Albo dei Dottori commercialisti e degli Esperti contabili</w:t>
      </w:r>
      <w:r w:rsidRPr="00F30F63">
        <w:rPr>
          <w:rFonts w:ascii="Arial" w:hAnsi="Arial" w:cs="Arial"/>
          <w:color w:val="000000"/>
          <w:bdr w:val="none" w:sz="0" w:space="0" w:color="auto" w:frame="1"/>
        </w:rPr>
        <w:t xml:space="preserve">: </w:t>
      </w:r>
      <w:r w:rsidRPr="00F30F63">
        <w:rPr>
          <w:rFonts w:ascii="Arial" w:hAnsi="Arial" w:cs="Arial"/>
          <w:color w:val="000000"/>
          <w:bdr w:val="none" w:sz="0" w:space="0" w:color="auto" w:frame="1"/>
        </w:rPr>
        <w:lastRenderedPageBreak/>
        <w:t>a questi ultimi, infatti, sia la </w:t>
      </w:r>
      <w:r w:rsidRPr="00F30F63">
        <w:rPr>
          <w:rFonts w:ascii="Arial" w:hAnsi="Arial" w:cs="Arial"/>
          <w:b/>
          <w:bCs/>
          <w:color w:val="000000"/>
          <w:bdr w:val="none" w:sz="0" w:space="0" w:color="auto" w:frame="1"/>
        </w:rPr>
        <w:t>legge professionale</w:t>
      </w:r>
      <w:r w:rsidRPr="00F30F63">
        <w:rPr>
          <w:rFonts w:ascii="Arial" w:hAnsi="Arial" w:cs="Arial"/>
          <w:color w:val="000000"/>
          <w:bdr w:val="none" w:sz="0" w:space="0" w:color="auto" w:frame="1"/>
        </w:rPr>
        <w:t> riconosce specifica competenza nella</w:t>
      </w:r>
      <w:r w:rsidR="00CC7959">
        <w:rPr>
          <w:rFonts w:ascii="Arial" w:hAnsi="Arial" w:cs="Arial"/>
          <w:color w:val="000000"/>
          <w:bdr w:val="none" w:sz="0" w:space="0" w:color="auto" w:frame="1"/>
        </w:rPr>
        <w:t xml:space="preserve"> predisposizione</w:t>
      </w:r>
      <w:r w:rsidRPr="00F30F63">
        <w:rPr>
          <w:rFonts w:ascii="Arial" w:hAnsi="Arial" w:cs="Arial"/>
          <w:color w:val="000000"/>
          <w:bdr w:val="none" w:sz="0" w:space="0" w:color="auto" w:frame="1"/>
        </w:rPr>
        <w:t xml:space="preserve"> di piani di risanamento e nell’amministrazione e nella liquidazione di aziende, di patrimoni e singoli beni, sia la </w:t>
      </w:r>
      <w:r w:rsidRPr="00F30F63">
        <w:rPr>
          <w:rFonts w:ascii="Arial" w:hAnsi="Arial" w:cs="Arial"/>
          <w:b/>
          <w:bCs/>
          <w:color w:val="000000"/>
          <w:bdr w:val="none" w:sz="0" w:space="0" w:color="auto" w:frame="1"/>
        </w:rPr>
        <w:t>legge fallimentare</w:t>
      </w:r>
      <w:r w:rsidRPr="00F30F63">
        <w:rPr>
          <w:rFonts w:ascii="Arial" w:hAnsi="Arial" w:cs="Arial"/>
          <w:color w:val="000000"/>
          <w:bdr w:val="none" w:sz="0" w:space="0" w:color="auto" w:frame="1"/>
        </w:rPr>
        <w:t> riconosce specifica competenza per svolgere le funzioni di curatore, di commissario, di liquidatore e per assumere incarichi di attestazione della fattibilità dei piani nelle procedure concorsuali diverse dal fallimento. Va a nostro avviso accordata preferenza ai professionisti che possano vantare un’adeguata esperienza professionale per aver ricoperto incarichi di ausiliario del giudice o di attestatore </w:t>
      </w:r>
      <w:r w:rsidRPr="00F30F63">
        <w:rPr>
          <w:rFonts w:ascii="Arial" w:hAnsi="Arial" w:cs="Arial"/>
          <w:b/>
          <w:bCs/>
          <w:color w:val="000000"/>
          <w:bdr w:val="none" w:sz="0" w:space="0" w:color="auto" w:frame="1"/>
        </w:rPr>
        <w:t>negli ultimi cinque anni</w:t>
      </w:r>
      <w:r w:rsidRPr="00F30F63">
        <w:rPr>
          <w:rFonts w:ascii="Arial" w:hAnsi="Arial" w:cs="Arial"/>
          <w:color w:val="000000"/>
          <w:bdr w:val="none" w:sz="0" w:space="0" w:color="auto" w:frame="1"/>
        </w:rPr>
        <w:t>”. </w:t>
      </w:r>
      <w:r w:rsidRPr="00F30F63">
        <w:rPr>
          <w:rFonts w:ascii="Arial" w:eastAsia="Times New Roman" w:hAnsi="Arial" w:cs="Arial"/>
          <w:color w:val="000000"/>
          <w:bdr w:val="none" w:sz="0" w:space="0" w:color="auto" w:frame="1"/>
        </w:rPr>
        <w:t> </w:t>
      </w:r>
    </w:p>
    <w:p w14:paraId="1752BFE7" w14:textId="77777777" w:rsidR="00E915D6" w:rsidRPr="00F30F63" w:rsidRDefault="00E915D6" w:rsidP="00F30F63">
      <w:pPr>
        <w:shd w:val="clear" w:color="auto" w:fill="FFFFFF"/>
        <w:spacing w:after="0" w:line="240" w:lineRule="auto"/>
        <w:jc w:val="both"/>
        <w:rPr>
          <w:color w:val="000000"/>
        </w:rPr>
      </w:pPr>
      <w:r w:rsidRPr="00F30F63">
        <w:rPr>
          <w:rFonts w:ascii="Arial" w:eastAsia="Times New Roman" w:hAnsi="Arial" w:cs="Arial"/>
          <w:color w:val="000000"/>
          <w:bdr w:val="none" w:sz="0" w:space="0" w:color="auto" w:frame="1"/>
        </w:rPr>
        <w:t> </w:t>
      </w:r>
    </w:p>
    <w:p w14:paraId="5C98CEFE" w14:textId="598CB44A" w:rsidR="00E915D6" w:rsidRPr="00F30F63" w:rsidRDefault="00E915D6" w:rsidP="00F30F63">
      <w:pPr>
        <w:shd w:val="clear" w:color="auto" w:fill="FFFFFF"/>
        <w:spacing w:after="0" w:line="240" w:lineRule="auto"/>
        <w:jc w:val="both"/>
        <w:rPr>
          <w:color w:val="000000"/>
        </w:rPr>
      </w:pPr>
      <w:r w:rsidRPr="00F30F63">
        <w:rPr>
          <w:rFonts w:ascii="Arial" w:hAnsi="Arial" w:cs="Arial"/>
          <w:color w:val="000000"/>
          <w:bdr w:val="none" w:sz="0" w:space="0" w:color="auto" w:frame="1"/>
        </w:rPr>
        <w:t>Sempre a proposito dei commissari straordinari, un aspetto giudicato da Foschi “</w:t>
      </w:r>
      <w:r w:rsidRPr="00F30F63">
        <w:rPr>
          <w:rFonts w:ascii="Arial" w:hAnsi="Arial" w:cs="Arial"/>
          <w:b/>
          <w:bCs/>
          <w:color w:val="000000"/>
          <w:bdr w:val="none" w:sz="0" w:space="0" w:color="auto" w:frame="1"/>
        </w:rPr>
        <w:t>di enorme importanza</w:t>
      </w:r>
      <w:r w:rsidRPr="00F30F63">
        <w:rPr>
          <w:rFonts w:ascii="Arial" w:hAnsi="Arial" w:cs="Arial"/>
          <w:color w:val="000000"/>
          <w:bdr w:val="none" w:sz="0" w:space="0" w:color="auto" w:frame="1"/>
        </w:rPr>
        <w:t xml:space="preserve">” è quello relativo alla fissazione del loro </w:t>
      </w:r>
      <w:r w:rsidRPr="00F30F63">
        <w:rPr>
          <w:rFonts w:ascii="Arial" w:hAnsi="Arial" w:cs="Arial"/>
          <w:b/>
          <w:bCs/>
          <w:color w:val="000000"/>
          <w:bdr w:val="none" w:sz="0" w:space="0" w:color="auto" w:frame="1"/>
        </w:rPr>
        <w:t>compenso</w:t>
      </w:r>
      <w:r w:rsidRPr="00F30F63">
        <w:rPr>
          <w:rFonts w:ascii="Arial" w:hAnsi="Arial" w:cs="Arial"/>
          <w:color w:val="000000"/>
          <w:bdr w:val="none" w:sz="0" w:space="0" w:color="auto" w:frame="1"/>
        </w:rPr>
        <w:t xml:space="preserve"> adeguato in relazione alla dimensione e alla natura dell’impresa. “La circostanza che si sia ritenuto di stabilire criteri e modalità di remunerazione del commissario che tengano conto dell’efficienza ed efficacia dell’opera prestata e che siano commisurati, secondo fasce coerenti, con le dimensione dell’impresa dimostra ancora una volta </w:t>
      </w:r>
      <w:r w:rsidR="00CC7959">
        <w:rPr>
          <w:rFonts w:ascii="Arial" w:hAnsi="Arial" w:cs="Arial"/>
          <w:color w:val="000000"/>
          <w:bdr w:val="none" w:sz="0" w:space="0" w:color="auto" w:frame="1"/>
        </w:rPr>
        <w:t>-</w:t>
      </w:r>
      <w:r w:rsidRPr="00F30F63">
        <w:rPr>
          <w:rFonts w:ascii="Arial" w:hAnsi="Arial" w:cs="Arial"/>
          <w:color w:val="000000"/>
          <w:bdr w:val="none" w:sz="0" w:space="0" w:color="auto" w:frame="1"/>
        </w:rPr>
        <w:t xml:space="preserve"> ha concluso Foschi -</w:t>
      </w:r>
      <w:r w:rsidRPr="00F30F63">
        <w:rPr>
          <w:rFonts w:ascii="Arial" w:eastAsia="Times New Roman" w:hAnsi="Arial" w:cs="Arial"/>
          <w:color w:val="000000"/>
          <w:bdr w:val="none" w:sz="0" w:space="0" w:color="auto" w:frame="1"/>
        </w:rPr>
        <w:t> </w:t>
      </w:r>
      <w:r w:rsidRPr="00F30F63">
        <w:rPr>
          <w:rFonts w:ascii="Arial" w:hAnsi="Arial" w:cs="Arial"/>
          <w:color w:val="000000"/>
          <w:bdr w:val="none" w:sz="0" w:space="0" w:color="auto" w:frame="1"/>
        </w:rPr>
        <w:t xml:space="preserve">che, a seguito dell’abolizione delle </w:t>
      </w:r>
      <w:r w:rsidRPr="00F30F63">
        <w:rPr>
          <w:rFonts w:ascii="Arial" w:hAnsi="Arial" w:cs="Arial"/>
          <w:b/>
          <w:bCs/>
          <w:color w:val="000000"/>
          <w:bdr w:val="none" w:sz="0" w:space="0" w:color="auto" w:frame="1"/>
        </w:rPr>
        <w:t>tariffe professionali</w:t>
      </w:r>
      <w:r w:rsidRPr="00F30F63">
        <w:rPr>
          <w:rFonts w:ascii="Arial" w:hAnsi="Arial" w:cs="Arial"/>
          <w:color w:val="000000"/>
          <w:bdr w:val="none" w:sz="0" w:space="0" w:color="auto" w:frame="1"/>
        </w:rPr>
        <w:t xml:space="preserve">, esista, proprio nell’interesse pubblico, la necessità di definire un compenso </w:t>
      </w:r>
      <w:r w:rsidRPr="00F30F63">
        <w:rPr>
          <w:rFonts w:ascii="Arial" w:hAnsi="Arial" w:cs="Arial"/>
          <w:b/>
          <w:bCs/>
          <w:color w:val="000000"/>
          <w:bdr w:val="none" w:sz="0" w:space="0" w:color="auto" w:frame="1"/>
        </w:rPr>
        <w:t>adeguato</w:t>
      </w:r>
      <w:r w:rsidRPr="00F30F63">
        <w:rPr>
          <w:rFonts w:ascii="Arial" w:hAnsi="Arial" w:cs="Arial"/>
          <w:color w:val="000000"/>
          <w:bdr w:val="none" w:sz="0" w:space="0" w:color="auto" w:frame="1"/>
        </w:rPr>
        <w:t xml:space="preserve">, per limitare </w:t>
      </w:r>
      <w:r w:rsidRPr="00F30F63">
        <w:rPr>
          <w:rFonts w:ascii="Arial" w:hAnsi="Arial" w:cs="Arial"/>
          <w:b/>
          <w:bCs/>
          <w:color w:val="000000"/>
          <w:bdr w:val="none" w:sz="0" w:space="0" w:color="auto" w:frame="1"/>
        </w:rPr>
        <w:t>eventuali abusi</w:t>
      </w:r>
      <w:r w:rsidRPr="00F30F63">
        <w:rPr>
          <w:rFonts w:ascii="Arial" w:hAnsi="Arial" w:cs="Arial"/>
          <w:color w:val="000000"/>
          <w:bdr w:val="none" w:sz="0" w:space="0" w:color="auto" w:frame="1"/>
        </w:rPr>
        <w:t xml:space="preserve"> - per altro assurdi in un contesto giurisdizionale -, oltre che </w:t>
      </w:r>
      <w:r w:rsidRPr="00F30F63">
        <w:rPr>
          <w:rFonts w:ascii="Arial" w:hAnsi="Arial" w:cs="Arial"/>
          <w:b/>
          <w:bCs/>
          <w:color w:val="000000"/>
          <w:bdr w:val="none" w:sz="0" w:space="0" w:color="auto" w:frame="1"/>
        </w:rPr>
        <w:t>equo</w:t>
      </w:r>
      <w:r w:rsidRPr="00F30F63">
        <w:rPr>
          <w:rFonts w:ascii="Arial" w:hAnsi="Arial" w:cs="Arial"/>
          <w:color w:val="000000"/>
          <w:bdr w:val="none" w:sz="0" w:space="0" w:color="auto" w:frame="1"/>
        </w:rPr>
        <w:t xml:space="preserve">, considerato l’ambito della funzione svolta dal commissario”. </w:t>
      </w:r>
      <w:r w:rsidRPr="00F30F63">
        <w:rPr>
          <w:rFonts w:eastAsia="Times New Roman"/>
          <w:color w:val="000000"/>
        </w:rPr>
        <w:t> </w:t>
      </w:r>
    </w:p>
    <w:p w14:paraId="7F3DB3BB" w14:textId="77777777" w:rsidR="00B3271C" w:rsidRPr="00F30F63" w:rsidRDefault="007B183F" w:rsidP="00F30F63">
      <w:pPr>
        <w:spacing w:after="0" w:line="240" w:lineRule="auto"/>
        <w:jc w:val="both"/>
      </w:pPr>
    </w:p>
    <w:sectPr w:rsidR="00B3271C" w:rsidRPr="00F30F63"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A8241" w14:textId="77777777" w:rsidR="007B183F" w:rsidRDefault="007B183F" w:rsidP="00627996">
      <w:r>
        <w:separator/>
      </w:r>
    </w:p>
  </w:endnote>
  <w:endnote w:type="continuationSeparator" w:id="0">
    <w:p w14:paraId="6C50EAD8" w14:textId="77777777" w:rsidR="007B183F" w:rsidRDefault="007B183F"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6A235" w14:textId="77777777" w:rsidR="007B183F" w:rsidRDefault="007B183F" w:rsidP="00627996">
      <w:r>
        <w:separator/>
      </w:r>
    </w:p>
  </w:footnote>
  <w:footnote w:type="continuationSeparator" w:id="0">
    <w:p w14:paraId="77209476" w14:textId="77777777" w:rsidR="007B183F" w:rsidRDefault="007B183F"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1CAE0" w14:textId="77777777" w:rsidR="00627996" w:rsidRDefault="00627996">
    <w:pPr>
      <w:pStyle w:val="Intestazione"/>
    </w:pPr>
    <w:r w:rsidRPr="00A945F8">
      <w:rPr>
        <w:noProof/>
      </w:rPr>
      <w:drawing>
        <wp:inline distT="0" distB="0" distL="0" distR="0" wp14:anchorId="2B1E21A4" wp14:editId="3DFD554A">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1A323B"/>
    <w:rsid w:val="001B3759"/>
    <w:rsid w:val="001D0C92"/>
    <w:rsid w:val="00206248"/>
    <w:rsid w:val="00237BEE"/>
    <w:rsid w:val="00256A38"/>
    <w:rsid w:val="002B1170"/>
    <w:rsid w:val="002B1507"/>
    <w:rsid w:val="002E31F2"/>
    <w:rsid w:val="003248FA"/>
    <w:rsid w:val="00326556"/>
    <w:rsid w:val="003C2FC0"/>
    <w:rsid w:val="00420FCE"/>
    <w:rsid w:val="00595991"/>
    <w:rsid w:val="00627996"/>
    <w:rsid w:val="00656CC5"/>
    <w:rsid w:val="006D1127"/>
    <w:rsid w:val="006F6E86"/>
    <w:rsid w:val="00734687"/>
    <w:rsid w:val="00757CE7"/>
    <w:rsid w:val="00784C9B"/>
    <w:rsid w:val="007B183F"/>
    <w:rsid w:val="00815A2C"/>
    <w:rsid w:val="00856EEC"/>
    <w:rsid w:val="00986D90"/>
    <w:rsid w:val="009D1104"/>
    <w:rsid w:val="009F27EC"/>
    <w:rsid w:val="009F7147"/>
    <w:rsid w:val="00A0254E"/>
    <w:rsid w:val="00AC6BB0"/>
    <w:rsid w:val="00AD59FF"/>
    <w:rsid w:val="00AE79CD"/>
    <w:rsid w:val="00B42729"/>
    <w:rsid w:val="00C06A84"/>
    <w:rsid w:val="00C539E0"/>
    <w:rsid w:val="00C92843"/>
    <w:rsid w:val="00CC6EA0"/>
    <w:rsid w:val="00CC7959"/>
    <w:rsid w:val="00D0285A"/>
    <w:rsid w:val="00D41E98"/>
    <w:rsid w:val="00DB4B99"/>
    <w:rsid w:val="00E90F82"/>
    <w:rsid w:val="00E915D6"/>
    <w:rsid w:val="00EA4FE6"/>
    <w:rsid w:val="00F30F63"/>
    <w:rsid w:val="00F4452F"/>
    <w:rsid w:val="00F721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274B9"/>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B42729"/>
    <w:pPr>
      <w:spacing w:after="200" w:line="276" w:lineRule="auto"/>
    </w:pPr>
    <w:rPr>
      <w:rFonts w:ascii="Calibri" w:eastAsia="Calibri" w:hAnsi="Calibri" w:cs="Times New Roman"/>
      <w:sz w:val="22"/>
      <w:szCs w:val="22"/>
    </w:rPr>
  </w:style>
  <w:style w:type="paragraph" w:styleId="Titolo3">
    <w:name w:val="heading 3"/>
    <w:basedOn w:val="Normale"/>
    <w:link w:val="Titolo3Carattere"/>
    <w:uiPriority w:val="9"/>
    <w:qFormat/>
    <w:rsid w:val="00B42729"/>
    <w:pPr>
      <w:spacing w:before="100" w:beforeAutospacing="1" w:after="100" w:afterAutospacing="1" w:line="240" w:lineRule="auto"/>
      <w:outlineLvl w:val="2"/>
    </w:pPr>
    <w:rPr>
      <w:rFonts w:ascii="Times New Roman" w:eastAsia="Times New Roman" w:hAnsi="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627996"/>
    <w:pPr>
      <w:tabs>
        <w:tab w:val="center" w:pos="4819"/>
        <w:tab w:val="right" w:pos="9638"/>
      </w:tabs>
      <w:spacing w:after="0" w:line="240" w:lineRule="auto"/>
    </w:pPr>
    <w:rPr>
      <w:rFonts w:asciiTheme="minorHAnsi" w:eastAsiaTheme="minorHAnsi" w:hAnsiTheme="minorHAnsi" w:cstheme="minorBidi"/>
      <w:sz w:val="24"/>
      <w:szCs w:val="24"/>
    </w:r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spacing w:after="0" w:line="240" w:lineRule="auto"/>
    </w:pPr>
    <w:rPr>
      <w:rFonts w:asciiTheme="minorHAnsi" w:eastAsiaTheme="minorHAnsi" w:hAnsiTheme="minorHAnsi" w:cstheme="minorBidi"/>
      <w:sz w:val="24"/>
      <w:szCs w:val="24"/>
    </w:rPr>
  </w:style>
  <w:style w:type="character" w:customStyle="1" w:styleId="PidipaginaCarattere">
    <w:name w:val="Piè di pagina Carattere"/>
    <w:basedOn w:val="Carpredefinitoparagrafo"/>
    <w:link w:val="Pidipagina"/>
    <w:uiPriority w:val="99"/>
    <w:rsid w:val="00627996"/>
  </w:style>
  <w:style w:type="character" w:customStyle="1" w:styleId="Titolo3Carattere">
    <w:name w:val="Titolo 3 Carattere"/>
    <w:basedOn w:val="Carpredefinitoparagrafo"/>
    <w:link w:val="Titolo3"/>
    <w:uiPriority w:val="9"/>
    <w:rsid w:val="00B42729"/>
    <w:rPr>
      <w:rFonts w:ascii="Times New Roman" w:eastAsia="Times New Roman" w:hAnsi="Times New Roman" w:cs="Times New Roman"/>
      <w:b/>
      <w:bCs/>
      <w:sz w:val="27"/>
      <w:szCs w:val="27"/>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148945">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841</Words>
  <Characters>4794</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6</cp:revision>
  <dcterms:created xsi:type="dcterms:W3CDTF">2021-03-03T12:04:00Z</dcterms:created>
  <dcterms:modified xsi:type="dcterms:W3CDTF">2021-03-03T12:11:00Z</dcterms:modified>
</cp:coreProperties>
</file>