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3CD3" w14:textId="77777777" w:rsidR="0029157E" w:rsidRPr="00227B3C" w:rsidRDefault="0029157E" w:rsidP="00574FE2">
      <w:pPr>
        <w:spacing w:after="0" w:line="240" w:lineRule="auto"/>
        <w:ind w:left="-142"/>
        <w:jc w:val="both"/>
        <w:rPr>
          <w:rFonts w:ascii="Arial" w:eastAsia="Times New Roman" w:hAnsi="Arial" w:cs="Arial"/>
          <w:sz w:val="24"/>
          <w:szCs w:val="24"/>
        </w:rPr>
      </w:pPr>
    </w:p>
    <w:p w14:paraId="09A01648" w14:textId="02130CA9" w:rsidR="00B46E7F" w:rsidRDefault="00B33AAD" w:rsidP="00574FE2">
      <w:pPr>
        <w:suppressAutoHyphens/>
        <w:autoSpaceDN w:val="0"/>
        <w:spacing w:after="0" w:line="240" w:lineRule="auto"/>
        <w:ind w:left="-142"/>
        <w:jc w:val="center"/>
        <w:textAlignment w:val="baseline"/>
        <w:rPr>
          <w:rFonts w:ascii="Arial" w:eastAsia="Times New Roman" w:hAnsi="Arial" w:cs="Arial"/>
          <w:b/>
          <w:bCs/>
          <w:sz w:val="24"/>
          <w:szCs w:val="24"/>
        </w:rPr>
      </w:pPr>
      <w:r>
        <w:rPr>
          <w:rFonts w:ascii="Arial" w:eastAsia="Times New Roman" w:hAnsi="Arial" w:cs="Arial"/>
          <w:b/>
          <w:bCs/>
          <w:sz w:val="24"/>
          <w:szCs w:val="24"/>
        </w:rPr>
        <w:t>C</w:t>
      </w:r>
      <w:r w:rsidR="000B3806" w:rsidRPr="00574FE2">
        <w:rPr>
          <w:rFonts w:ascii="Arial" w:eastAsia="Times New Roman" w:hAnsi="Arial" w:cs="Arial"/>
          <w:b/>
          <w:bCs/>
          <w:sz w:val="24"/>
          <w:szCs w:val="24"/>
        </w:rPr>
        <w:t>OMUNICATO STAMPA</w:t>
      </w:r>
    </w:p>
    <w:p w14:paraId="2FD9590E" w14:textId="77777777" w:rsidR="00B33AAD" w:rsidRDefault="00B33AAD" w:rsidP="00574FE2">
      <w:pPr>
        <w:suppressAutoHyphens/>
        <w:autoSpaceDN w:val="0"/>
        <w:spacing w:after="0" w:line="240" w:lineRule="auto"/>
        <w:ind w:left="-142"/>
        <w:jc w:val="center"/>
        <w:textAlignment w:val="baseline"/>
        <w:rPr>
          <w:rFonts w:ascii="Arial" w:eastAsia="Times New Roman" w:hAnsi="Arial" w:cs="Arial"/>
          <w:b/>
          <w:bCs/>
          <w:sz w:val="24"/>
          <w:szCs w:val="24"/>
        </w:rPr>
      </w:pPr>
    </w:p>
    <w:p w14:paraId="6389CBA1" w14:textId="77777777" w:rsidR="007D3C3A" w:rsidRDefault="007D3C3A" w:rsidP="007D3C3A">
      <w:pPr>
        <w:pStyle w:val="p1"/>
        <w:shd w:val="clear" w:color="auto" w:fill="FFFFFF"/>
        <w:jc w:val="both"/>
        <w:rPr>
          <w:rFonts w:ascii="Arial" w:eastAsia="Times New Roman" w:hAnsi="Arial" w:cs="Arial"/>
          <w:sz w:val="18"/>
          <w:szCs w:val="18"/>
        </w:rPr>
      </w:pPr>
    </w:p>
    <w:p w14:paraId="4FCE1A68" w14:textId="20FDF709" w:rsidR="007D3C3A" w:rsidRPr="00A50F77" w:rsidRDefault="007D3C3A" w:rsidP="007D3C3A">
      <w:pPr>
        <w:pStyle w:val="p1"/>
        <w:shd w:val="clear" w:color="auto" w:fill="FFFFFF"/>
        <w:jc w:val="both"/>
        <w:rPr>
          <w:rFonts w:ascii="Arial" w:eastAsia="Times New Roman" w:hAnsi="Arial" w:cs="Arial"/>
          <w:i/>
          <w:iCs/>
          <w:sz w:val="20"/>
          <w:szCs w:val="20"/>
        </w:rPr>
      </w:pPr>
      <w:r w:rsidRPr="00A50F77">
        <w:rPr>
          <w:rFonts w:ascii="Arial" w:eastAsia="Times New Roman" w:hAnsi="Arial" w:cs="Arial"/>
          <w:i/>
          <w:iCs/>
          <w:sz w:val="20"/>
          <w:szCs w:val="20"/>
        </w:rPr>
        <w:t>DOCUMENTO</w:t>
      </w:r>
      <w:r w:rsidR="00A50F77" w:rsidRPr="00A50F77">
        <w:rPr>
          <w:rFonts w:ascii="Arial" w:eastAsia="Times New Roman" w:hAnsi="Arial" w:cs="Arial"/>
          <w:i/>
          <w:iCs/>
          <w:sz w:val="20"/>
          <w:szCs w:val="20"/>
        </w:rPr>
        <w:t xml:space="preserve"> CNDCEC-FNC</w:t>
      </w:r>
      <w:r w:rsidRPr="00A50F77">
        <w:rPr>
          <w:rFonts w:ascii="Arial" w:eastAsia="Times New Roman" w:hAnsi="Arial" w:cs="Arial"/>
          <w:i/>
          <w:iCs/>
          <w:sz w:val="20"/>
          <w:szCs w:val="20"/>
        </w:rPr>
        <w:t xml:space="preserve"> “FINANZA SOSTENIBILE E FATTORI “ESG”: STATO DELL’ARTE, SVILUPPI FUTURI E OPPORTUNITÀ”</w:t>
      </w:r>
    </w:p>
    <w:p w14:paraId="6EC2DD4E" w14:textId="3DFA8BB3" w:rsidR="007D3C3A" w:rsidRPr="003674EA" w:rsidRDefault="007D3C3A" w:rsidP="007D3C3A">
      <w:pPr>
        <w:pStyle w:val="p1"/>
        <w:shd w:val="clear" w:color="auto" w:fill="FFFFFF"/>
        <w:jc w:val="both"/>
        <w:rPr>
          <w:rFonts w:ascii="Arial" w:hAnsi="Arial" w:cs="Arial"/>
          <w:color w:val="000000"/>
          <w:sz w:val="24"/>
          <w:szCs w:val="24"/>
        </w:rPr>
      </w:pPr>
      <w:r w:rsidRPr="003674EA">
        <w:rPr>
          <w:rFonts w:ascii="Arial" w:hAnsi="Arial" w:cs="Arial"/>
          <w:b/>
          <w:bCs/>
          <w:color w:val="000000"/>
          <w:sz w:val="24"/>
          <w:szCs w:val="24"/>
        </w:rPr>
        <w:t>COMMERCIALISTI STRATEGICI PER LA DIFFUSIONE DI UNA CULTURA DELLA SOSTENIBILITÀ</w:t>
      </w:r>
    </w:p>
    <w:p w14:paraId="713B8D1B" w14:textId="15DCB08A" w:rsidR="007D3C3A" w:rsidRDefault="007D3C3A" w:rsidP="007D3C3A">
      <w:pPr>
        <w:shd w:val="clear" w:color="auto" w:fill="FFFFFF"/>
        <w:spacing w:after="0" w:line="240" w:lineRule="auto"/>
        <w:jc w:val="both"/>
        <w:rPr>
          <w:rFonts w:ascii="Arial" w:eastAsia="Times New Roman" w:hAnsi="Arial" w:cs="Arial"/>
          <w:b/>
          <w:bCs/>
          <w:color w:val="201F1E"/>
          <w:sz w:val="26"/>
          <w:szCs w:val="26"/>
          <w:bdr w:val="none" w:sz="0" w:space="0" w:color="auto" w:frame="1"/>
          <w:lang w:eastAsia="it-IT"/>
        </w:rPr>
      </w:pPr>
      <w:r w:rsidRPr="007D3C3A">
        <w:rPr>
          <w:rFonts w:ascii="Arial" w:eastAsia="Times New Roman" w:hAnsi="Arial" w:cs="Arial"/>
          <w:b/>
          <w:bCs/>
          <w:color w:val="201F1E"/>
          <w:sz w:val="26"/>
          <w:szCs w:val="26"/>
          <w:bdr w:val="none" w:sz="0" w:space="0" w:color="auto" w:frame="1"/>
          <w:lang w:eastAsia="it-IT"/>
        </w:rPr>
        <w:t xml:space="preserve">La professione presidia da tempo il settore della </w:t>
      </w:r>
      <w:proofErr w:type="spellStart"/>
      <w:r w:rsidRPr="007D3C3A">
        <w:rPr>
          <w:rFonts w:ascii="Arial" w:eastAsia="Times New Roman" w:hAnsi="Arial" w:cs="Arial"/>
          <w:b/>
          <w:bCs/>
          <w:color w:val="201F1E"/>
          <w:sz w:val="26"/>
          <w:szCs w:val="26"/>
          <w:bdr w:val="none" w:sz="0" w:space="0" w:color="auto" w:frame="1"/>
          <w:lang w:eastAsia="it-IT"/>
        </w:rPr>
        <w:t>sustainable</w:t>
      </w:r>
      <w:proofErr w:type="spellEnd"/>
      <w:r w:rsidRPr="007D3C3A">
        <w:rPr>
          <w:rFonts w:ascii="Arial" w:eastAsia="Times New Roman" w:hAnsi="Arial" w:cs="Arial"/>
          <w:b/>
          <w:bCs/>
          <w:color w:val="201F1E"/>
          <w:sz w:val="26"/>
          <w:szCs w:val="26"/>
          <w:bdr w:val="none" w:sz="0" w:space="0" w:color="auto" w:frame="1"/>
          <w:lang w:eastAsia="it-IT"/>
        </w:rPr>
        <w:t xml:space="preserve"> </w:t>
      </w:r>
      <w:proofErr w:type="spellStart"/>
      <w:r w:rsidRPr="007D3C3A">
        <w:rPr>
          <w:rFonts w:ascii="Arial" w:eastAsia="Times New Roman" w:hAnsi="Arial" w:cs="Arial"/>
          <w:b/>
          <w:bCs/>
          <w:color w:val="201F1E"/>
          <w:sz w:val="26"/>
          <w:szCs w:val="26"/>
          <w:bdr w:val="none" w:sz="0" w:space="0" w:color="auto" w:frame="1"/>
          <w:lang w:eastAsia="it-IT"/>
        </w:rPr>
        <w:t>finance</w:t>
      </w:r>
      <w:proofErr w:type="spellEnd"/>
      <w:r w:rsidRPr="007D3C3A">
        <w:rPr>
          <w:rFonts w:ascii="Arial" w:eastAsia="Times New Roman" w:hAnsi="Arial" w:cs="Arial"/>
          <w:b/>
          <w:bCs/>
          <w:color w:val="201F1E"/>
          <w:sz w:val="26"/>
          <w:szCs w:val="26"/>
          <w:bdr w:val="none" w:sz="0" w:space="0" w:color="auto" w:frame="1"/>
          <w:lang w:eastAsia="it-IT"/>
        </w:rPr>
        <w:t xml:space="preserve"> e può svolgere attività di grande rilievo nell'ambito della consulenza strategica</w:t>
      </w:r>
    </w:p>
    <w:p w14:paraId="2D797FD7" w14:textId="77777777" w:rsidR="007D3C3A" w:rsidRPr="007D3C3A" w:rsidRDefault="007D3C3A" w:rsidP="007D3C3A">
      <w:pPr>
        <w:shd w:val="clear" w:color="auto" w:fill="FFFFFF"/>
        <w:spacing w:after="0" w:line="240" w:lineRule="auto"/>
        <w:jc w:val="both"/>
        <w:rPr>
          <w:rFonts w:ascii="Arial" w:eastAsia="Times New Roman" w:hAnsi="Arial" w:cs="Arial"/>
          <w:b/>
          <w:bCs/>
          <w:color w:val="201F1E"/>
          <w:sz w:val="24"/>
          <w:szCs w:val="24"/>
          <w:bdr w:val="none" w:sz="0" w:space="0" w:color="auto" w:frame="1"/>
          <w:lang w:eastAsia="it-IT"/>
        </w:rPr>
      </w:pPr>
    </w:p>
    <w:p w14:paraId="051046C8" w14:textId="33F68680" w:rsidR="007D3C3A" w:rsidRPr="007D3C3A" w:rsidRDefault="007D3C3A" w:rsidP="007D3C3A">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Roma, 3 febbraio 2022 – </w:t>
      </w:r>
      <w:r w:rsidRPr="007D3C3A">
        <w:rPr>
          <w:rFonts w:ascii="Arial" w:eastAsia="Times New Roman" w:hAnsi="Arial" w:cs="Arial"/>
          <w:sz w:val="24"/>
          <w:szCs w:val="24"/>
          <w:lang w:eastAsia="it-IT"/>
        </w:rPr>
        <w:t>Il Consiglio e la Fondazione Nazionale dei Commercialisti hanno pubblicato il documento “</w:t>
      </w:r>
      <w:r w:rsidRPr="007D3C3A">
        <w:rPr>
          <w:rFonts w:ascii="Arial" w:eastAsia="Times New Roman" w:hAnsi="Arial" w:cs="Arial"/>
          <w:i/>
          <w:iCs/>
          <w:sz w:val="24"/>
          <w:szCs w:val="24"/>
          <w:lang w:eastAsia="it-IT"/>
        </w:rPr>
        <w:t>Finanza sostenibile e fattori “ESG”: stato dell’arte, sviluppi futuri e opportunità</w:t>
      </w:r>
      <w:r w:rsidRPr="007D3C3A">
        <w:rPr>
          <w:rFonts w:ascii="Arial" w:eastAsia="Times New Roman" w:hAnsi="Arial" w:cs="Arial"/>
          <w:sz w:val="24"/>
          <w:szCs w:val="24"/>
          <w:lang w:eastAsia="it-IT"/>
        </w:rPr>
        <w:t xml:space="preserve">”. Un approfondimento delle </w:t>
      </w:r>
      <w:r w:rsidRPr="007D3C3A">
        <w:rPr>
          <w:rFonts w:ascii="Arial" w:eastAsia="Times New Roman" w:hAnsi="Arial" w:cs="Arial"/>
          <w:b/>
          <w:bCs/>
          <w:sz w:val="24"/>
          <w:szCs w:val="24"/>
          <w:lang w:eastAsia="it-IT"/>
        </w:rPr>
        <w:t>opportunità future</w:t>
      </w:r>
      <w:r w:rsidRPr="007D3C3A">
        <w:rPr>
          <w:rFonts w:ascii="Arial" w:eastAsia="Times New Roman" w:hAnsi="Arial" w:cs="Arial"/>
          <w:sz w:val="24"/>
          <w:szCs w:val="24"/>
          <w:lang w:eastAsia="it-IT"/>
        </w:rPr>
        <w:t xml:space="preserve"> per </w:t>
      </w:r>
      <w:r w:rsidRPr="007D3C3A">
        <w:rPr>
          <w:rFonts w:ascii="Arial" w:eastAsia="Times New Roman" w:hAnsi="Arial" w:cs="Arial"/>
          <w:b/>
          <w:bCs/>
          <w:sz w:val="24"/>
          <w:szCs w:val="24"/>
          <w:lang w:eastAsia="it-IT"/>
        </w:rPr>
        <w:t>imprese e professionisti</w:t>
      </w:r>
      <w:r w:rsidRPr="007D3C3A">
        <w:rPr>
          <w:rFonts w:ascii="Arial" w:eastAsia="Times New Roman" w:hAnsi="Arial" w:cs="Arial"/>
          <w:sz w:val="24"/>
          <w:szCs w:val="24"/>
          <w:lang w:eastAsia="it-IT"/>
        </w:rPr>
        <w:t xml:space="preserve"> nel campo della finanza sostenibile.  Il lavoro è diviso in sette capitoli. Nel primo si traccia un </w:t>
      </w:r>
      <w:r w:rsidRPr="007D3C3A">
        <w:rPr>
          <w:rFonts w:ascii="Arial" w:eastAsia="Times New Roman" w:hAnsi="Arial" w:cs="Arial"/>
          <w:b/>
          <w:bCs/>
          <w:sz w:val="24"/>
          <w:szCs w:val="24"/>
          <w:lang w:eastAsia="it-IT"/>
        </w:rPr>
        <w:t>inquadramento normativo</w:t>
      </w:r>
      <w:r w:rsidRPr="007D3C3A">
        <w:rPr>
          <w:rFonts w:ascii="Arial" w:eastAsia="Times New Roman" w:hAnsi="Arial" w:cs="Arial"/>
          <w:sz w:val="24"/>
          <w:szCs w:val="24"/>
          <w:lang w:eastAsia="it-IT"/>
        </w:rPr>
        <w:t xml:space="preserve"> del settore sempre più strategico per la Commissione Europea che, sottoscrivendo gli Accordi di Parigi, ha concordato sulla necessità di raggiungere, entro il 2030, obiettivi in termini di riduzione dei gas serra rispetto ai livelli del 1990 (- 40%), percentuale di fabbisogno energetico soddisfatto attraverso fonti rinnovabili (32%) e miglioramento dell’efficienza energetica rispetto al 1990 (+32,5%). La Commissione ha anche invitato gli Stati membri a fare monitorare l’attuazione degli obiettivi di sviluppo sostenibile nei rispettivi programmi nazionali di riforma (PNR), che consentirà di cogliere gli aspetti trasversali all’economia delle politiche connesse agli obiettivi di sviluppo sostenibile.</w:t>
      </w:r>
    </w:p>
    <w:p w14:paraId="4592CA89" w14:textId="77777777" w:rsidR="007D3C3A" w:rsidRDefault="007D3C3A" w:rsidP="007D3C3A">
      <w:pPr>
        <w:spacing w:after="0" w:line="240" w:lineRule="auto"/>
        <w:jc w:val="both"/>
        <w:rPr>
          <w:rFonts w:ascii="Arial" w:eastAsia="Times New Roman" w:hAnsi="Arial" w:cs="Arial"/>
          <w:sz w:val="24"/>
          <w:szCs w:val="24"/>
          <w:lang w:eastAsia="it-IT"/>
        </w:rPr>
      </w:pPr>
    </w:p>
    <w:p w14:paraId="5C78193B" w14:textId="480A134A" w:rsidR="007D3C3A" w:rsidRPr="007D3C3A" w:rsidRDefault="007D3C3A" w:rsidP="007D3C3A">
      <w:pPr>
        <w:spacing w:after="0" w:line="240" w:lineRule="auto"/>
        <w:jc w:val="both"/>
        <w:rPr>
          <w:rFonts w:ascii="Arial" w:eastAsia="Times New Roman" w:hAnsi="Arial" w:cs="Arial"/>
          <w:sz w:val="24"/>
          <w:szCs w:val="24"/>
          <w:lang w:eastAsia="it-IT"/>
        </w:rPr>
      </w:pPr>
      <w:r w:rsidRPr="007D3C3A">
        <w:rPr>
          <w:rFonts w:ascii="Arial" w:eastAsia="Times New Roman" w:hAnsi="Arial" w:cs="Arial"/>
          <w:sz w:val="24"/>
          <w:szCs w:val="24"/>
          <w:lang w:eastAsia="it-IT"/>
        </w:rPr>
        <w:t xml:space="preserve">Per ciò che concerne gli aspetti più strettamente connessi alle </w:t>
      </w:r>
      <w:r w:rsidRPr="007D3C3A">
        <w:rPr>
          <w:rFonts w:ascii="Arial" w:eastAsia="Times New Roman" w:hAnsi="Arial" w:cs="Arial"/>
          <w:b/>
          <w:bCs/>
          <w:sz w:val="24"/>
          <w:szCs w:val="24"/>
          <w:lang w:eastAsia="it-IT"/>
        </w:rPr>
        <w:t>dinamiche finanziarie</w:t>
      </w:r>
      <w:r w:rsidRPr="007D3C3A">
        <w:rPr>
          <w:rFonts w:ascii="Arial" w:eastAsia="Times New Roman" w:hAnsi="Arial" w:cs="Arial"/>
          <w:sz w:val="24"/>
          <w:szCs w:val="24"/>
          <w:lang w:eastAsia="it-IT"/>
        </w:rPr>
        <w:t xml:space="preserve"> e agli </w:t>
      </w:r>
      <w:r w:rsidRPr="007D3C3A">
        <w:rPr>
          <w:rFonts w:ascii="Arial" w:eastAsia="Times New Roman" w:hAnsi="Arial" w:cs="Arial"/>
          <w:b/>
          <w:bCs/>
          <w:sz w:val="24"/>
          <w:szCs w:val="24"/>
          <w:lang w:eastAsia="it-IT"/>
        </w:rPr>
        <w:t>strumenti per il supporto ai target di crescita</w:t>
      </w:r>
      <w:r w:rsidRPr="007D3C3A">
        <w:rPr>
          <w:rFonts w:ascii="Arial" w:eastAsia="Times New Roman" w:hAnsi="Arial" w:cs="Arial"/>
          <w:sz w:val="24"/>
          <w:szCs w:val="24"/>
          <w:lang w:eastAsia="it-IT"/>
        </w:rPr>
        <w:t xml:space="preserve"> sostenibile e, più in generale, alla realizzazione dell’Agenda 2030, le istituzioni europee hanno avviato un ampio programma di riforme con un Piano d’Azione per finanziare la crescita sostenibile. Spazio poi alla definizione di investimenti sostenibili e regime informativo. Nei capitoli centrali il documento approfondisce i temi del </w:t>
      </w:r>
      <w:r w:rsidRPr="007D3C3A">
        <w:rPr>
          <w:rFonts w:ascii="Arial" w:eastAsia="Times New Roman" w:hAnsi="Arial" w:cs="Arial"/>
          <w:b/>
          <w:bCs/>
          <w:sz w:val="24"/>
          <w:szCs w:val="24"/>
          <w:lang w:eastAsia="it-IT"/>
        </w:rPr>
        <w:t>Non-Financial reporting</w:t>
      </w:r>
      <w:r w:rsidRPr="007D3C3A">
        <w:rPr>
          <w:rFonts w:ascii="Arial" w:eastAsia="Times New Roman" w:hAnsi="Arial" w:cs="Arial"/>
          <w:sz w:val="24"/>
          <w:szCs w:val="24"/>
          <w:lang w:eastAsia="it-IT"/>
        </w:rPr>
        <w:t xml:space="preserve"> e oneri formativi per le imprese, la </w:t>
      </w:r>
      <w:r w:rsidRPr="007D3C3A">
        <w:rPr>
          <w:rFonts w:ascii="Arial" w:eastAsia="Times New Roman" w:hAnsi="Arial" w:cs="Arial"/>
          <w:b/>
          <w:bCs/>
          <w:sz w:val="24"/>
          <w:szCs w:val="24"/>
          <w:lang w:eastAsia="it-IT"/>
        </w:rPr>
        <w:t>normativa bancaria</w:t>
      </w:r>
      <w:r w:rsidRPr="007D3C3A">
        <w:rPr>
          <w:rFonts w:ascii="Arial" w:eastAsia="Times New Roman" w:hAnsi="Arial" w:cs="Arial"/>
          <w:sz w:val="24"/>
          <w:szCs w:val="24"/>
          <w:lang w:eastAsia="it-IT"/>
        </w:rPr>
        <w:t xml:space="preserve">, </w:t>
      </w:r>
      <w:r w:rsidRPr="007D3C3A">
        <w:rPr>
          <w:rFonts w:ascii="Arial" w:eastAsia="Times New Roman" w:hAnsi="Arial" w:cs="Arial"/>
          <w:b/>
          <w:bCs/>
          <w:sz w:val="24"/>
          <w:szCs w:val="24"/>
          <w:lang w:eastAsia="it-IT"/>
        </w:rPr>
        <w:t>merito creditizio</w:t>
      </w:r>
      <w:r w:rsidRPr="007D3C3A">
        <w:rPr>
          <w:rFonts w:ascii="Arial" w:eastAsia="Times New Roman" w:hAnsi="Arial" w:cs="Arial"/>
          <w:sz w:val="24"/>
          <w:szCs w:val="24"/>
          <w:lang w:eastAsia="it-IT"/>
        </w:rPr>
        <w:t xml:space="preserve"> e </w:t>
      </w:r>
      <w:r w:rsidRPr="007D3C3A">
        <w:rPr>
          <w:rFonts w:ascii="Arial" w:eastAsia="Times New Roman" w:hAnsi="Arial" w:cs="Arial"/>
          <w:b/>
          <w:bCs/>
          <w:sz w:val="24"/>
          <w:szCs w:val="24"/>
          <w:lang w:eastAsia="it-IT"/>
        </w:rPr>
        <w:t>fattori ESG</w:t>
      </w:r>
      <w:r w:rsidRPr="007D3C3A">
        <w:rPr>
          <w:rFonts w:ascii="Arial" w:eastAsia="Times New Roman" w:hAnsi="Arial" w:cs="Arial"/>
          <w:sz w:val="24"/>
          <w:szCs w:val="24"/>
          <w:lang w:eastAsia="it-IT"/>
        </w:rPr>
        <w:t xml:space="preserve">, e il legame tra questi ultimi, performance di sostenibilità e aspetti squisitamente connessi al mondo della corporate </w:t>
      </w:r>
      <w:proofErr w:type="spellStart"/>
      <w:r w:rsidRPr="007D3C3A">
        <w:rPr>
          <w:rFonts w:ascii="Arial" w:eastAsia="Times New Roman" w:hAnsi="Arial" w:cs="Arial"/>
          <w:sz w:val="24"/>
          <w:szCs w:val="24"/>
          <w:lang w:eastAsia="it-IT"/>
        </w:rPr>
        <w:t>finance</w:t>
      </w:r>
      <w:proofErr w:type="spellEnd"/>
      <w:r w:rsidRPr="007D3C3A">
        <w:rPr>
          <w:rFonts w:ascii="Arial" w:eastAsia="Times New Roman" w:hAnsi="Arial" w:cs="Arial"/>
          <w:sz w:val="24"/>
          <w:szCs w:val="24"/>
          <w:lang w:eastAsia="it-IT"/>
        </w:rPr>
        <w:t xml:space="preserve"> e del capital budgeting, quali il costo del capitale e della redditività aziendale.</w:t>
      </w:r>
    </w:p>
    <w:p w14:paraId="75B551A5" w14:textId="77777777" w:rsidR="007D3C3A" w:rsidRDefault="007D3C3A" w:rsidP="007D3C3A">
      <w:pPr>
        <w:spacing w:after="0" w:line="240" w:lineRule="auto"/>
        <w:jc w:val="both"/>
        <w:rPr>
          <w:rFonts w:ascii="Arial" w:eastAsia="Times New Roman" w:hAnsi="Arial" w:cs="Arial"/>
          <w:sz w:val="24"/>
          <w:szCs w:val="24"/>
          <w:lang w:eastAsia="it-IT"/>
        </w:rPr>
      </w:pPr>
    </w:p>
    <w:p w14:paraId="066CDD94" w14:textId="2F088A7B" w:rsidR="007D3C3A" w:rsidRPr="007D3C3A" w:rsidRDefault="007D3C3A" w:rsidP="007D3C3A">
      <w:pPr>
        <w:spacing w:after="0" w:line="240" w:lineRule="auto"/>
        <w:jc w:val="both"/>
        <w:rPr>
          <w:rFonts w:ascii="Arial" w:eastAsia="Times New Roman" w:hAnsi="Arial" w:cs="Arial"/>
          <w:sz w:val="24"/>
          <w:szCs w:val="24"/>
          <w:lang w:eastAsia="it-IT"/>
        </w:rPr>
      </w:pPr>
      <w:r w:rsidRPr="007D3C3A">
        <w:rPr>
          <w:rFonts w:ascii="Arial" w:eastAsia="Times New Roman" w:hAnsi="Arial" w:cs="Arial"/>
          <w:sz w:val="24"/>
          <w:szCs w:val="24"/>
          <w:lang w:eastAsia="it-IT"/>
        </w:rPr>
        <w:t xml:space="preserve">Nel penultimo capitolo, invece, si dà una diffusa panoramica dei </w:t>
      </w:r>
      <w:r w:rsidRPr="007D3C3A">
        <w:rPr>
          <w:rFonts w:ascii="Arial" w:eastAsia="Times New Roman" w:hAnsi="Arial" w:cs="Arial"/>
          <w:b/>
          <w:bCs/>
          <w:sz w:val="24"/>
          <w:szCs w:val="24"/>
          <w:lang w:eastAsia="it-IT"/>
        </w:rPr>
        <w:t>principali strumenti di finanza sostenibile</w:t>
      </w:r>
      <w:r w:rsidRPr="007D3C3A">
        <w:rPr>
          <w:rFonts w:ascii="Arial" w:eastAsia="Times New Roman" w:hAnsi="Arial" w:cs="Arial"/>
          <w:sz w:val="24"/>
          <w:szCs w:val="24"/>
          <w:lang w:eastAsia="it-IT"/>
        </w:rPr>
        <w:t xml:space="preserve">, orientati al raggiungimento e al rispetto degli obiettivi definiti dai fattori ESG.  Tra questi, i </w:t>
      </w:r>
      <w:r w:rsidRPr="007D3C3A">
        <w:rPr>
          <w:rFonts w:ascii="Arial" w:eastAsia="Times New Roman" w:hAnsi="Arial" w:cs="Arial"/>
          <w:b/>
          <w:bCs/>
          <w:sz w:val="24"/>
          <w:szCs w:val="24"/>
          <w:lang w:eastAsia="it-IT"/>
        </w:rPr>
        <w:t>green bonds</w:t>
      </w:r>
      <w:r w:rsidRPr="007D3C3A">
        <w:rPr>
          <w:rFonts w:ascii="Arial" w:eastAsia="Times New Roman" w:hAnsi="Arial" w:cs="Arial"/>
          <w:sz w:val="24"/>
          <w:szCs w:val="24"/>
          <w:lang w:eastAsia="it-IT"/>
        </w:rPr>
        <w:t xml:space="preserve"> (“GB”), vale a dire obbligazioni la cui emissione e il cui use of </w:t>
      </w:r>
      <w:proofErr w:type="spellStart"/>
      <w:r w:rsidRPr="007D3C3A">
        <w:rPr>
          <w:rFonts w:ascii="Arial" w:eastAsia="Times New Roman" w:hAnsi="Arial" w:cs="Arial"/>
          <w:sz w:val="24"/>
          <w:szCs w:val="24"/>
          <w:lang w:eastAsia="it-IT"/>
        </w:rPr>
        <w:t>proceeds</w:t>
      </w:r>
      <w:proofErr w:type="spellEnd"/>
      <w:r w:rsidRPr="007D3C3A">
        <w:rPr>
          <w:rFonts w:ascii="Arial" w:eastAsia="Times New Roman" w:hAnsi="Arial" w:cs="Arial"/>
          <w:sz w:val="24"/>
          <w:szCs w:val="24"/>
          <w:lang w:eastAsia="it-IT"/>
        </w:rPr>
        <w:t xml:space="preserve"> sono legati a progetti che hanno un impatto positivo per l’ambiente, come l’efficienza energetica, la produzione di energia da fonti rinnovabili, il trattamento dei rifiuti, l’uso sostenibile dei terreni. La Commissione Europea ha enfatizzato le potenzialità e il funzionamento del mercato dei Green Bond, presentando nel 2016 un pacchetto di misure intitolato “Energia pulita per tutti gli europei”, secondo il quale dal 2021 sarà necessario un supplemento di 177 miliardi di euro all’anno per raggiungere gli obiettivi individuati per il 2030 su clima ed energia, nell’ambito dei quali nuovi meccanismi di finanziamento e di investimento potrebbero giocare un ruolo essenziale.</w:t>
      </w:r>
    </w:p>
    <w:p w14:paraId="6BA4DEE9" w14:textId="77777777" w:rsidR="007D3C3A" w:rsidRDefault="007D3C3A" w:rsidP="007D3C3A">
      <w:pPr>
        <w:spacing w:after="0" w:line="240" w:lineRule="auto"/>
        <w:jc w:val="both"/>
        <w:rPr>
          <w:rFonts w:ascii="Arial" w:eastAsia="Times New Roman" w:hAnsi="Arial" w:cs="Arial"/>
          <w:sz w:val="24"/>
          <w:szCs w:val="24"/>
          <w:lang w:eastAsia="it-IT"/>
        </w:rPr>
      </w:pPr>
    </w:p>
    <w:p w14:paraId="197D34E2" w14:textId="487FD896" w:rsidR="007D3C3A" w:rsidRPr="007D3C3A" w:rsidRDefault="007D3C3A" w:rsidP="007D3C3A">
      <w:pPr>
        <w:spacing w:after="0" w:line="240" w:lineRule="auto"/>
        <w:jc w:val="both"/>
        <w:rPr>
          <w:rFonts w:ascii="Arial" w:eastAsia="Times New Roman" w:hAnsi="Arial" w:cs="Arial"/>
          <w:sz w:val="24"/>
          <w:szCs w:val="24"/>
          <w:lang w:eastAsia="it-IT"/>
        </w:rPr>
      </w:pPr>
      <w:r w:rsidRPr="007D3C3A">
        <w:rPr>
          <w:rFonts w:ascii="Arial" w:eastAsia="Times New Roman" w:hAnsi="Arial" w:cs="Arial"/>
          <w:sz w:val="24"/>
          <w:szCs w:val="24"/>
          <w:lang w:eastAsia="it-IT"/>
        </w:rPr>
        <w:t xml:space="preserve">In conclusione, attenzione focalizzata sull’importanza delle </w:t>
      </w:r>
      <w:r w:rsidRPr="007D3C3A">
        <w:rPr>
          <w:rFonts w:ascii="Arial" w:eastAsia="Times New Roman" w:hAnsi="Arial" w:cs="Arial"/>
          <w:b/>
          <w:bCs/>
          <w:sz w:val="24"/>
          <w:szCs w:val="24"/>
          <w:lang w:eastAsia="it-IT"/>
        </w:rPr>
        <w:t>competenze di commercialisti</w:t>
      </w:r>
      <w:r w:rsidRPr="007D3C3A">
        <w:rPr>
          <w:rFonts w:ascii="Arial" w:eastAsia="Times New Roman" w:hAnsi="Arial" w:cs="Arial"/>
          <w:sz w:val="24"/>
          <w:szCs w:val="24"/>
          <w:lang w:eastAsia="it-IT"/>
        </w:rPr>
        <w:t xml:space="preserve"> e professionisti ai fini della predisposizione della struttura e della valutazione degli strumenti </w:t>
      </w:r>
      <w:r w:rsidRPr="007D3C3A">
        <w:rPr>
          <w:rFonts w:ascii="Arial" w:eastAsia="Times New Roman" w:hAnsi="Arial" w:cs="Arial"/>
          <w:sz w:val="24"/>
          <w:szCs w:val="24"/>
          <w:lang w:eastAsia="it-IT"/>
        </w:rPr>
        <w:lastRenderedPageBreak/>
        <w:t xml:space="preserve">di finanza sostenibile. La professione del commercialista può svolgere attività di grande rilievo sia nell’ambito delle </w:t>
      </w:r>
      <w:r w:rsidRPr="007D3C3A">
        <w:rPr>
          <w:rFonts w:ascii="Arial" w:eastAsia="Times New Roman" w:hAnsi="Arial" w:cs="Arial"/>
          <w:b/>
          <w:bCs/>
          <w:sz w:val="24"/>
          <w:szCs w:val="24"/>
          <w:lang w:eastAsia="it-IT"/>
        </w:rPr>
        <w:t>criticità inerenti al rapporto tra normativa e prassi</w:t>
      </w:r>
      <w:r w:rsidRPr="007D3C3A">
        <w:rPr>
          <w:rFonts w:ascii="Arial" w:eastAsia="Times New Roman" w:hAnsi="Arial" w:cs="Arial"/>
          <w:sz w:val="24"/>
          <w:szCs w:val="24"/>
          <w:lang w:eastAsia="it-IT"/>
        </w:rPr>
        <w:t xml:space="preserve">, da un lato, sia nel contesto della </w:t>
      </w:r>
      <w:r w:rsidRPr="007D3C3A">
        <w:rPr>
          <w:rFonts w:ascii="Arial" w:eastAsia="Times New Roman" w:hAnsi="Arial" w:cs="Arial"/>
          <w:b/>
          <w:bCs/>
          <w:sz w:val="24"/>
          <w:szCs w:val="24"/>
          <w:lang w:eastAsia="it-IT"/>
        </w:rPr>
        <w:t>consulenza strategica</w:t>
      </w:r>
      <w:r w:rsidRPr="007D3C3A">
        <w:rPr>
          <w:rFonts w:ascii="Arial" w:eastAsia="Times New Roman" w:hAnsi="Arial" w:cs="Arial"/>
          <w:sz w:val="24"/>
          <w:szCs w:val="24"/>
          <w:lang w:eastAsia="it-IT"/>
        </w:rPr>
        <w:t xml:space="preserve"> ai soggetti che intendano avvalersi di strumenti di </w:t>
      </w:r>
      <w:proofErr w:type="spellStart"/>
      <w:r w:rsidRPr="007D3C3A">
        <w:rPr>
          <w:rFonts w:ascii="Arial" w:eastAsia="Times New Roman" w:hAnsi="Arial" w:cs="Arial"/>
          <w:sz w:val="24"/>
          <w:szCs w:val="24"/>
          <w:lang w:eastAsia="it-IT"/>
        </w:rPr>
        <w:t>sustainable</w:t>
      </w:r>
      <w:proofErr w:type="spellEnd"/>
      <w:r w:rsidRPr="007D3C3A">
        <w:rPr>
          <w:rFonts w:ascii="Arial" w:eastAsia="Times New Roman" w:hAnsi="Arial" w:cs="Arial"/>
          <w:sz w:val="24"/>
          <w:szCs w:val="24"/>
          <w:lang w:eastAsia="it-IT"/>
        </w:rPr>
        <w:t xml:space="preserve"> </w:t>
      </w:r>
      <w:proofErr w:type="spellStart"/>
      <w:r w:rsidRPr="007D3C3A">
        <w:rPr>
          <w:rFonts w:ascii="Arial" w:eastAsia="Times New Roman" w:hAnsi="Arial" w:cs="Arial"/>
          <w:sz w:val="24"/>
          <w:szCs w:val="24"/>
          <w:lang w:eastAsia="it-IT"/>
        </w:rPr>
        <w:t>finance</w:t>
      </w:r>
      <w:proofErr w:type="spellEnd"/>
      <w:r w:rsidRPr="007D3C3A">
        <w:rPr>
          <w:rFonts w:ascii="Arial" w:eastAsia="Times New Roman" w:hAnsi="Arial" w:cs="Arial"/>
          <w:sz w:val="24"/>
          <w:szCs w:val="24"/>
          <w:lang w:eastAsia="it-IT"/>
        </w:rPr>
        <w:t xml:space="preserve">, dall’altro. In effetti, nella prima prospettiva, risultano centrali le competenze professionali sviluppate con riguardo all’analisi dei mercati finanziari e all’applicazione dei principi procedurali e metodologici e risultano altresì essenziali le competenze maturate con riguardo al reporting e, in generale, alla </w:t>
      </w:r>
      <w:proofErr w:type="spellStart"/>
      <w:r w:rsidRPr="007D3C3A">
        <w:rPr>
          <w:rFonts w:ascii="Arial" w:eastAsia="Times New Roman" w:hAnsi="Arial" w:cs="Arial"/>
          <w:sz w:val="24"/>
          <w:szCs w:val="24"/>
          <w:lang w:eastAsia="it-IT"/>
        </w:rPr>
        <w:t>disclosure</w:t>
      </w:r>
      <w:proofErr w:type="spellEnd"/>
      <w:r w:rsidRPr="007D3C3A">
        <w:rPr>
          <w:rFonts w:ascii="Arial" w:eastAsia="Times New Roman" w:hAnsi="Arial" w:cs="Arial"/>
          <w:sz w:val="24"/>
          <w:szCs w:val="24"/>
          <w:lang w:eastAsia="it-IT"/>
        </w:rPr>
        <w:t xml:space="preserve"> relativa ai progetti cui tali strumenti (GB in primis) sono connessi.</w:t>
      </w:r>
    </w:p>
    <w:p w14:paraId="7E2ABC1E" w14:textId="77777777" w:rsidR="007D3C3A" w:rsidRDefault="007D3C3A" w:rsidP="007D3C3A">
      <w:pPr>
        <w:spacing w:after="0" w:line="240" w:lineRule="auto"/>
        <w:jc w:val="both"/>
        <w:rPr>
          <w:rFonts w:ascii="Arial" w:eastAsia="Times New Roman" w:hAnsi="Arial" w:cs="Arial"/>
          <w:sz w:val="24"/>
          <w:szCs w:val="24"/>
          <w:lang w:eastAsia="it-IT"/>
        </w:rPr>
      </w:pPr>
    </w:p>
    <w:p w14:paraId="73628BD4" w14:textId="1392B4B2" w:rsidR="007D3C3A" w:rsidRPr="007D3C3A" w:rsidRDefault="007D3C3A" w:rsidP="007D3C3A">
      <w:pPr>
        <w:spacing w:after="0" w:line="240" w:lineRule="auto"/>
        <w:jc w:val="both"/>
        <w:rPr>
          <w:rFonts w:ascii="Arial" w:eastAsia="Times New Roman" w:hAnsi="Arial" w:cs="Arial"/>
          <w:sz w:val="24"/>
          <w:szCs w:val="24"/>
          <w:lang w:eastAsia="it-IT"/>
        </w:rPr>
      </w:pPr>
      <w:r w:rsidRPr="007D3C3A">
        <w:rPr>
          <w:rFonts w:ascii="Arial" w:eastAsia="Times New Roman" w:hAnsi="Arial" w:cs="Arial"/>
          <w:sz w:val="24"/>
          <w:szCs w:val="24"/>
          <w:lang w:eastAsia="it-IT"/>
        </w:rPr>
        <w:t xml:space="preserve">Nella seconda prospettiva, le conoscenze e le </w:t>
      </w:r>
      <w:r w:rsidRPr="007D3C3A">
        <w:rPr>
          <w:rFonts w:ascii="Arial" w:eastAsia="Times New Roman" w:hAnsi="Arial" w:cs="Arial"/>
          <w:b/>
          <w:bCs/>
          <w:sz w:val="24"/>
          <w:szCs w:val="24"/>
          <w:lang w:eastAsia="it-IT"/>
        </w:rPr>
        <w:t>sensibilità nella valutazione</w:t>
      </w:r>
      <w:r w:rsidRPr="007D3C3A">
        <w:rPr>
          <w:rFonts w:ascii="Arial" w:eastAsia="Times New Roman" w:hAnsi="Arial" w:cs="Arial"/>
          <w:sz w:val="24"/>
          <w:szCs w:val="24"/>
          <w:lang w:eastAsia="it-IT"/>
        </w:rPr>
        <w:t xml:space="preserve">, le </w:t>
      </w:r>
      <w:r w:rsidRPr="007D3C3A">
        <w:rPr>
          <w:rFonts w:ascii="Arial" w:eastAsia="Times New Roman" w:hAnsi="Arial" w:cs="Arial"/>
          <w:b/>
          <w:bCs/>
          <w:sz w:val="24"/>
          <w:szCs w:val="24"/>
          <w:lang w:eastAsia="it-IT"/>
        </w:rPr>
        <w:t xml:space="preserve">capacità di risk </w:t>
      </w:r>
      <w:proofErr w:type="spellStart"/>
      <w:r w:rsidRPr="007D3C3A">
        <w:rPr>
          <w:rFonts w:ascii="Arial" w:eastAsia="Times New Roman" w:hAnsi="Arial" w:cs="Arial"/>
          <w:b/>
          <w:bCs/>
          <w:sz w:val="24"/>
          <w:szCs w:val="24"/>
          <w:lang w:eastAsia="it-IT"/>
        </w:rPr>
        <w:t>assessment</w:t>
      </w:r>
      <w:proofErr w:type="spellEnd"/>
      <w:r w:rsidRPr="007D3C3A">
        <w:rPr>
          <w:rFonts w:ascii="Arial" w:eastAsia="Times New Roman" w:hAnsi="Arial" w:cs="Arial"/>
          <w:sz w:val="24"/>
          <w:szCs w:val="24"/>
          <w:lang w:eastAsia="it-IT"/>
        </w:rPr>
        <w:t xml:space="preserve"> e </w:t>
      </w:r>
      <w:r w:rsidRPr="007D3C3A">
        <w:rPr>
          <w:rFonts w:ascii="Arial" w:eastAsia="Times New Roman" w:hAnsi="Arial" w:cs="Arial"/>
          <w:b/>
          <w:bCs/>
          <w:sz w:val="24"/>
          <w:szCs w:val="24"/>
          <w:lang w:eastAsia="it-IT"/>
        </w:rPr>
        <w:t>risk management</w:t>
      </w:r>
      <w:r w:rsidRPr="007D3C3A">
        <w:rPr>
          <w:rFonts w:ascii="Arial" w:eastAsia="Times New Roman" w:hAnsi="Arial" w:cs="Arial"/>
          <w:sz w:val="24"/>
          <w:szCs w:val="24"/>
          <w:lang w:eastAsia="it-IT"/>
        </w:rPr>
        <w:t xml:space="preserve"> di variabili ESG, anche nell’ottica di allineamento alla succitata definizione di “successo sostenibile” proposta dal nuovo Codice di Corporate Governance di Borsa italiana, sembrano imprescindibili nella pianificazione di strategie di finanziamento di lungo periodo articolate in funzione di tali strumenti finanziari. Infine, nella visione di sistema - con riguardo alla trasparenza della </w:t>
      </w:r>
      <w:proofErr w:type="spellStart"/>
      <w:r w:rsidRPr="007D3C3A">
        <w:rPr>
          <w:rFonts w:ascii="Arial" w:eastAsia="Times New Roman" w:hAnsi="Arial" w:cs="Arial"/>
          <w:sz w:val="24"/>
          <w:szCs w:val="24"/>
          <w:lang w:eastAsia="it-IT"/>
        </w:rPr>
        <w:t>disclosure</w:t>
      </w:r>
      <w:proofErr w:type="spellEnd"/>
      <w:r w:rsidRPr="007D3C3A">
        <w:rPr>
          <w:rFonts w:ascii="Arial" w:eastAsia="Times New Roman" w:hAnsi="Arial" w:cs="Arial"/>
          <w:sz w:val="24"/>
          <w:szCs w:val="24"/>
          <w:lang w:eastAsia="it-IT"/>
        </w:rPr>
        <w:t xml:space="preserve"> dei soggetti coinvolti - e nell’ambito delle attività volte alla tutela dell’interesse pubblico, i commercialisti possono contribuire in maniera decisiva alla </w:t>
      </w:r>
      <w:r w:rsidRPr="007D3C3A">
        <w:rPr>
          <w:rFonts w:ascii="Arial" w:eastAsia="Times New Roman" w:hAnsi="Arial" w:cs="Arial"/>
          <w:b/>
          <w:bCs/>
          <w:sz w:val="24"/>
          <w:szCs w:val="24"/>
          <w:lang w:eastAsia="it-IT"/>
        </w:rPr>
        <w:t>diffusione</w:t>
      </w:r>
      <w:r w:rsidRPr="007D3C3A">
        <w:rPr>
          <w:rFonts w:ascii="Arial" w:eastAsia="Times New Roman" w:hAnsi="Arial" w:cs="Arial"/>
          <w:sz w:val="24"/>
          <w:szCs w:val="24"/>
          <w:lang w:eastAsia="it-IT"/>
        </w:rPr>
        <w:t xml:space="preserve"> e </w:t>
      </w:r>
      <w:r w:rsidRPr="007D3C3A">
        <w:rPr>
          <w:rFonts w:ascii="Arial" w:eastAsia="Times New Roman" w:hAnsi="Arial" w:cs="Arial"/>
          <w:b/>
          <w:bCs/>
          <w:sz w:val="24"/>
          <w:szCs w:val="24"/>
          <w:lang w:eastAsia="it-IT"/>
        </w:rPr>
        <w:t>all’utilizzo di GB</w:t>
      </w:r>
      <w:r w:rsidRPr="007D3C3A">
        <w:rPr>
          <w:rFonts w:ascii="Arial" w:eastAsia="Times New Roman" w:hAnsi="Arial" w:cs="Arial"/>
          <w:sz w:val="24"/>
          <w:szCs w:val="24"/>
          <w:lang w:eastAsia="it-IT"/>
        </w:rPr>
        <w:t xml:space="preserve"> e altri strumenti di finanza sostenibile, svolgendo così un ruolo fondamentale per la </w:t>
      </w:r>
      <w:r w:rsidRPr="007D3C3A">
        <w:rPr>
          <w:rFonts w:ascii="Arial" w:eastAsia="Times New Roman" w:hAnsi="Arial" w:cs="Arial"/>
          <w:b/>
          <w:bCs/>
          <w:sz w:val="24"/>
          <w:szCs w:val="24"/>
          <w:lang w:eastAsia="it-IT"/>
        </w:rPr>
        <w:t>creazione di una vera e propria “cultura della sostenibilità”</w:t>
      </w:r>
      <w:r w:rsidRPr="007D3C3A">
        <w:rPr>
          <w:rFonts w:ascii="Arial" w:eastAsia="Times New Roman" w:hAnsi="Arial" w:cs="Arial"/>
          <w:sz w:val="24"/>
          <w:szCs w:val="24"/>
          <w:lang w:eastAsia="it-IT"/>
        </w:rPr>
        <w:t>, che guidi le aziende in un processo di creazione di valore sempre più allargato a tutti gli stakeholders.</w:t>
      </w:r>
    </w:p>
    <w:p w14:paraId="269B3A08" w14:textId="77777777" w:rsidR="007D3C3A" w:rsidRPr="007D3C3A" w:rsidRDefault="007D3C3A" w:rsidP="007D3C3A">
      <w:pPr>
        <w:spacing w:after="0" w:line="240" w:lineRule="auto"/>
        <w:jc w:val="both"/>
        <w:rPr>
          <w:rFonts w:ascii="Arial" w:eastAsia="Times New Roman" w:hAnsi="Arial" w:cs="Arial"/>
          <w:sz w:val="24"/>
          <w:szCs w:val="24"/>
          <w:lang w:eastAsia="it-IT"/>
        </w:rPr>
      </w:pPr>
      <w:r w:rsidRPr="007D3C3A">
        <w:rPr>
          <w:rFonts w:ascii="Arial" w:eastAsia="Times New Roman" w:hAnsi="Arial" w:cs="Arial"/>
          <w:sz w:val="24"/>
          <w:szCs w:val="24"/>
          <w:lang w:eastAsia="it-IT"/>
        </w:rPr>
        <w:t> </w:t>
      </w:r>
    </w:p>
    <w:p w14:paraId="7B48F486" w14:textId="4C26BC3D" w:rsidR="00574FE2" w:rsidRPr="007D3C3A" w:rsidRDefault="00574FE2" w:rsidP="007D3C3A">
      <w:pPr>
        <w:shd w:val="clear" w:color="auto" w:fill="FFFFFF"/>
        <w:spacing w:after="0" w:line="240" w:lineRule="auto"/>
        <w:jc w:val="both"/>
        <w:rPr>
          <w:rFonts w:ascii="Arial" w:hAnsi="Arial" w:cs="Arial"/>
          <w:color w:val="4472C4" w:themeColor="accent1"/>
          <w:sz w:val="24"/>
          <w:szCs w:val="24"/>
        </w:rPr>
      </w:pPr>
    </w:p>
    <w:sectPr w:rsidR="00574FE2" w:rsidRPr="007D3C3A">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2FF7" w14:textId="77777777" w:rsidR="00FD1E1D" w:rsidRDefault="00FD1E1D" w:rsidP="00C244F9">
      <w:pPr>
        <w:spacing w:after="0" w:line="240" w:lineRule="auto"/>
      </w:pPr>
      <w:r>
        <w:separator/>
      </w:r>
    </w:p>
  </w:endnote>
  <w:endnote w:type="continuationSeparator" w:id="0">
    <w:p w14:paraId="3E250820" w14:textId="77777777" w:rsidR="00FD1E1D" w:rsidRDefault="00FD1E1D"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C42F" w14:textId="77777777" w:rsidR="00FD1E1D" w:rsidRDefault="00FD1E1D" w:rsidP="00C244F9">
      <w:pPr>
        <w:spacing w:after="0" w:line="240" w:lineRule="auto"/>
      </w:pPr>
      <w:r>
        <w:separator/>
      </w:r>
    </w:p>
  </w:footnote>
  <w:footnote w:type="continuationSeparator" w:id="0">
    <w:p w14:paraId="099842AF" w14:textId="77777777" w:rsidR="00FD1E1D" w:rsidRDefault="00FD1E1D"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51A7C"/>
    <w:rsid w:val="000B1BD1"/>
    <w:rsid w:val="000B235F"/>
    <w:rsid w:val="000B3806"/>
    <w:rsid w:val="000D60C6"/>
    <w:rsid w:val="00137250"/>
    <w:rsid w:val="00144BD8"/>
    <w:rsid w:val="001551D3"/>
    <w:rsid w:val="00227B3C"/>
    <w:rsid w:val="0029157E"/>
    <w:rsid w:val="002B78A5"/>
    <w:rsid w:val="002C41B2"/>
    <w:rsid w:val="0031138F"/>
    <w:rsid w:val="0034335D"/>
    <w:rsid w:val="0035192F"/>
    <w:rsid w:val="003773A3"/>
    <w:rsid w:val="003935EA"/>
    <w:rsid w:val="003C2E00"/>
    <w:rsid w:val="003E3FF8"/>
    <w:rsid w:val="00410906"/>
    <w:rsid w:val="004C5E41"/>
    <w:rsid w:val="004D027A"/>
    <w:rsid w:val="00502804"/>
    <w:rsid w:val="00542E37"/>
    <w:rsid w:val="00574FE2"/>
    <w:rsid w:val="005A46C4"/>
    <w:rsid w:val="00605191"/>
    <w:rsid w:val="00656D74"/>
    <w:rsid w:val="0066467C"/>
    <w:rsid w:val="006B481F"/>
    <w:rsid w:val="006F4EC2"/>
    <w:rsid w:val="007D3C3A"/>
    <w:rsid w:val="0080067F"/>
    <w:rsid w:val="0081049B"/>
    <w:rsid w:val="00813B39"/>
    <w:rsid w:val="008946C9"/>
    <w:rsid w:val="008C37D4"/>
    <w:rsid w:val="009258D3"/>
    <w:rsid w:val="009C53C6"/>
    <w:rsid w:val="009F4D75"/>
    <w:rsid w:val="00A50F77"/>
    <w:rsid w:val="00A604B1"/>
    <w:rsid w:val="00A62C4B"/>
    <w:rsid w:val="00A866E4"/>
    <w:rsid w:val="00B33AAD"/>
    <w:rsid w:val="00B46E7F"/>
    <w:rsid w:val="00B73BD6"/>
    <w:rsid w:val="00B84783"/>
    <w:rsid w:val="00BB3D1D"/>
    <w:rsid w:val="00BC55A4"/>
    <w:rsid w:val="00C244F9"/>
    <w:rsid w:val="00C74FC6"/>
    <w:rsid w:val="00CA5E3D"/>
    <w:rsid w:val="00D06F3A"/>
    <w:rsid w:val="00D64987"/>
    <w:rsid w:val="00DD1BB9"/>
    <w:rsid w:val="00DE3A12"/>
    <w:rsid w:val="00DF6872"/>
    <w:rsid w:val="00E00966"/>
    <w:rsid w:val="00E47BE0"/>
    <w:rsid w:val="00E50272"/>
    <w:rsid w:val="00E507D0"/>
    <w:rsid w:val="00E97876"/>
    <w:rsid w:val="00EC2930"/>
    <w:rsid w:val="00ED5ABE"/>
    <w:rsid w:val="00F04783"/>
    <w:rsid w:val="00F362C1"/>
    <w:rsid w:val="00F6642C"/>
    <w:rsid w:val="00FB062F"/>
    <w:rsid w:val="00FD1E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xs4">
    <w:name w:val="x_s4"/>
    <w:basedOn w:val="Normale"/>
    <w:rsid w:val="0035192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bumpedfont15">
    <w:name w:val="x_bumpedfont15"/>
    <w:basedOn w:val="Carpredefinitoparagrafo"/>
    <w:rsid w:val="0035192F"/>
  </w:style>
  <w:style w:type="paragraph" w:customStyle="1" w:styleId="p1">
    <w:name w:val="p1"/>
    <w:basedOn w:val="Normale"/>
    <w:rsid w:val="007D3C3A"/>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 w:id="21429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762</Words>
  <Characters>4350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dcterms:created xsi:type="dcterms:W3CDTF">2022-01-26T08:51:00Z</dcterms:created>
  <dcterms:modified xsi:type="dcterms:W3CDTF">2022-02-03T11:04:00Z</dcterms:modified>
</cp:coreProperties>
</file>