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87D5" w14:textId="77777777" w:rsidR="006C3945" w:rsidRPr="003D59CF" w:rsidRDefault="006C3945" w:rsidP="006C3945">
      <w:pPr>
        <w:rPr>
          <w:rFonts w:ascii="Arial" w:eastAsia="Times New Roman" w:hAnsi="Arial" w:cs="Arial"/>
        </w:rPr>
      </w:pPr>
      <w:bookmarkStart w:id="0" w:name="_Hlk534887837"/>
      <w:bookmarkStart w:id="1" w:name="_Hlk29975925"/>
    </w:p>
    <w:bookmarkEnd w:id="0"/>
    <w:bookmarkEnd w:id="1"/>
    <w:p w14:paraId="7F0CAC86" w14:textId="3CDBDB21" w:rsidR="009A1B3D" w:rsidRPr="00BF7A50" w:rsidRDefault="001C7A99" w:rsidP="009A1B3D">
      <w:pPr>
        <w:jc w:val="center"/>
        <w:rPr>
          <w:rFonts w:ascii="Arial" w:hAnsi="Arial" w:cs="Arial"/>
          <w:b/>
          <w:bCs/>
          <w:sz w:val="23"/>
          <w:szCs w:val="23"/>
        </w:rPr>
      </w:pPr>
      <w:r w:rsidRPr="00BF7A50">
        <w:rPr>
          <w:rFonts w:ascii="Arial" w:hAnsi="Arial" w:cs="Arial"/>
          <w:b/>
          <w:bCs/>
          <w:sz w:val="23"/>
          <w:szCs w:val="23"/>
        </w:rPr>
        <w:t>Comunicato stampa</w:t>
      </w:r>
      <w:bookmarkStart w:id="2" w:name="_Toc41599227"/>
      <w:bookmarkStart w:id="3" w:name="_Toc68704615"/>
      <w:bookmarkStart w:id="4" w:name="_Toc235425486"/>
    </w:p>
    <w:bookmarkEnd w:id="2"/>
    <w:bookmarkEnd w:id="3"/>
    <w:bookmarkEnd w:id="4"/>
    <w:p w14:paraId="1A94A1F3" w14:textId="77777777" w:rsidR="00BF7A50" w:rsidRPr="00BF7A50" w:rsidRDefault="00BF7A50" w:rsidP="00660EBC">
      <w:pPr>
        <w:jc w:val="center"/>
        <w:rPr>
          <w:rFonts w:ascii="Arial" w:hAnsi="Arial" w:cs="Arial"/>
          <w:b/>
          <w:bCs/>
          <w:color w:val="000000"/>
          <w:sz w:val="23"/>
          <w:szCs w:val="23"/>
        </w:rPr>
      </w:pPr>
    </w:p>
    <w:p w14:paraId="05D39F4F" w14:textId="2B91FC9B" w:rsidR="00660EBC" w:rsidRPr="00BF7A50" w:rsidRDefault="00660EBC" w:rsidP="00660EBC">
      <w:pPr>
        <w:jc w:val="center"/>
        <w:rPr>
          <w:color w:val="000000"/>
          <w:sz w:val="23"/>
          <w:szCs w:val="23"/>
        </w:rPr>
      </w:pPr>
      <w:r w:rsidRPr="00BF7A50">
        <w:rPr>
          <w:rFonts w:ascii="Arial" w:hAnsi="Arial" w:cs="Arial"/>
          <w:b/>
          <w:bCs/>
          <w:color w:val="000000"/>
          <w:sz w:val="23"/>
          <w:szCs w:val="23"/>
        </w:rPr>
        <w:t>FALLIMENTI: COMMERCIALISTI, RIDEFINIRE IL PERIMETRO DEL REATO DI DOLO EVENTUALE </w:t>
      </w:r>
    </w:p>
    <w:p w14:paraId="06EDB591" w14:textId="388442A4" w:rsidR="00660EBC" w:rsidRDefault="00660EBC" w:rsidP="00660EBC">
      <w:pPr>
        <w:jc w:val="center"/>
        <w:rPr>
          <w:rFonts w:ascii="Arial" w:hAnsi="Arial" w:cs="Arial"/>
          <w:b/>
          <w:bCs/>
          <w:color w:val="000000"/>
          <w:sz w:val="23"/>
          <w:szCs w:val="23"/>
        </w:rPr>
      </w:pPr>
      <w:r w:rsidRPr="00BF7A50">
        <w:rPr>
          <w:rFonts w:ascii="Arial" w:hAnsi="Arial" w:cs="Arial"/>
          <w:b/>
          <w:bCs/>
          <w:color w:val="000000"/>
          <w:sz w:val="23"/>
          <w:szCs w:val="23"/>
        </w:rPr>
        <w:t> I tre commissari straordinari del Consiglio nazionale: “Troppo spesso si traduce in presunzione di colpevolezza. Preoccupati da pronunce giurisprudenziali che minano la serenità dell’operato professionale a tutela di imprese e fede pubblica”</w:t>
      </w:r>
    </w:p>
    <w:p w14:paraId="44FD6492" w14:textId="77777777" w:rsidR="00BF7A50" w:rsidRPr="00BF7A50" w:rsidRDefault="00BF7A50" w:rsidP="00660EBC">
      <w:pPr>
        <w:jc w:val="center"/>
        <w:rPr>
          <w:color w:val="000000"/>
          <w:sz w:val="23"/>
          <w:szCs w:val="23"/>
        </w:rPr>
      </w:pPr>
    </w:p>
    <w:p w14:paraId="685B3ECF" w14:textId="77777777" w:rsidR="00660EBC" w:rsidRPr="00BF7A50" w:rsidRDefault="00660EBC" w:rsidP="00660EBC">
      <w:pPr>
        <w:jc w:val="center"/>
        <w:rPr>
          <w:color w:val="000000"/>
          <w:sz w:val="23"/>
          <w:szCs w:val="23"/>
        </w:rPr>
      </w:pPr>
      <w:r w:rsidRPr="00BF7A50">
        <w:rPr>
          <w:rFonts w:ascii="Arial" w:hAnsi="Arial" w:cs="Arial"/>
          <w:b/>
          <w:bCs/>
          <w:color w:val="000000"/>
          <w:sz w:val="23"/>
          <w:szCs w:val="23"/>
        </w:rPr>
        <w:t> </w:t>
      </w:r>
    </w:p>
    <w:p w14:paraId="0F8581D0" w14:textId="1128F1AC" w:rsidR="00660EBC" w:rsidRPr="00BF7A50" w:rsidRDefault="00660EBC" w:rsidP="00660EBC">
      <w:pPr>
        <w:jc w:val="both"/>
        <w:rPr>
          <w:color w:val="000000"/>
          <w:sz w:val="23"/>
          <w:szCs w:val="23"/>
        </w:rPr>
      </w:pPr>
      <w:r w:rsidRPr="00BF7A50">
        <w:rPr>
          <w:rFonts w:ascii="Arial" w:hAnsi="Arial" w:cs="Arial"/>
          <w:i/>
          <w:iCs/>
          <w:color w:val="000000"/>
          <w:sz w:val="23"/>
          <w:szCs w:val="23"/>
        </w:rPr>
        <w:t>Roma, 2 maggio 2022</w:t>
      </w:r>
      <w:r w:rsidRPr="00BF7A50">
        <w:rPr>
          <w:rFonts w:ascii="Arial" w:hAnsi="Arial" w:cs="Arial"/>
          <w:color w:val="000000"/>
          <w:sz w:val="23"/>
          <w:szCs w:val="23"/>
        </w:rPr>
        <w:t xml:space="preserve"> </w:t>
      </w:r>
      <w:r w:rsidRPr="00BF7A50">
        <w:rPr>
          <w:rFonts w:ascii="Arial" w:hAnsi="Arial" w:cs="Arial"/>
          <w:color w:val="000000"/>
          <w:sz w:val="23"/>
          <w:szCs w:val="23"/>
        </w:rPr>
        <w:t xml:space="preserve">– </w:t>
      </w:r>
      <w:r w:rsidRPr="00BF7A50">
        <w:rPr>
          <w:rFonts w:ascii="Arial" w:hAnsi="Arial" w:cs="Arial"/>
          <w:color w:val="000000"/>
          <w:sz w:val="23"/>
          <w:szCs w:val="23"/>
        </w:rPr>
        <w:t>“Ridefinire il perimetro del</w:t>
      </w:r>
      <w:r w:rsidRPr="00BF7A50">
        <w:rPr>
          <w:rFonts w:ascii="Arial" w:hAnsi="Arial" w:cs="Arial"/>
          <w:b/>
          <w:bCs/>
          <w:color w:val="000000"/>
          <w:sz w:val="23"/>
          <w:szCs w:val="23"/>
        </w:rPr>
        <w:t xml:space="preserve"> reato di dolo eventuale</w:t>
      </w:r>
      <w:r w:rsidRPr="00BF7A50">
        <w:rPr>
          <w:rFonts w:ascii="Arial" w:hAnsi="Arial" w:cs="Arial"/>
          <w:color w:val="000000"/>
          <w:sz w:val="23"/>
          <w:szCs w:val="23"/>
        </w:rPr>
        <w:t xml:space="preserve">, riconducendolo ai naturali requisiti di </w:t>
      </w:r>
      <w:r w:rsidRPr="00BF7A50">
        <w:rPr>
          <w:rFonts w:ascii="Arial" w:hAnsi="Arial" w:cs="Arial"/>
          <w:b/>
          <w:bCs/>
          <w:color w:val="000000"/>
          <w:sz w:val="23"/>
          <w:szCs w:val="23"/>
        </w:rPr>
        <w:t>intenzionalità dolosa</w:t>
      </w:r>
      <w:r w:rsidRPr="00BF7A50">
        <w:rPr>
          <w:rFonts w:ascii="Arial" w:hAnsi="Arial" w:cs="Arial"/>
          <w:color w:val="000000"/>
          <w:sz w:val="23"/>
          <w:szCs w:val="23"/>
        </w:rPr>
        <w:t xml:space="preserve">, che devono essere fattuali e che non possono tradursi in una </w:t>
      </w:r>
      <w:r w:rsidRPr="00BF7A50">
        <w:rPr>
          <w:rFonts w:ascii="Arial" w:hAnsi="Arial" w:cs="Arial"/>
          <w:b/>
          <w:bCs/>
          <w:color w:val="000000"/>
          <w:sz w:val="23"/>
          <w:szCs w:val="23"/>
        </w:rPr>
        <w:t>presunzione di colpevolezza</w:t>
      </w:r>
      <w:r w:rsidRPr="00BF7A50">
        <w:rPr>
          <w:rFonts w:ascii="Arial" w:hAnsi="Arial" w:cs="Arial"/>
          <w:color w:val="000000"/>
          <w:sz w:val="23"/>
          <w:szCs w:val="23"/>
        </w:rPr>
        <w:t xml:space="preserve"> sull’assioma difetto di controlli </w:t>
      </w:r>
      <w:r w:rsidR="00090245">
        <w:rPr>
          <w:rFonts w:ascii="Arial" w:hAnsi="Arial" w:cs="Arial"/>
          <w:color w:val="000000"/>
          <w:sz w:val="23"/>
          <w:szCs w:val="23"/>
        </w:rPr>
        <w:t>–</w:t>
      </w:r>
      <w:r w:rsidRPr="00BF7A50">
        <w:rPr>
          <w:rFonts w:ascii="Arial" w:hAnsi="Arial" w:cs="Arial"/>
          <w:color w:val="000000"/>
          <w:sz w:val="23"/>
          <w:szCs w:val="23"/>
        </w:rPr>
        <w:t xml:space="preserve"> anch’essi sovente presunti </w:t>
      </w:r>
      <w:r w:rsidR="00090245">
        <w:rPr>
          <w:rFonts w:ascii="Arial" w:hAnsi="Arial" w:cs="Arial"/>
          <w:color w:val="000000"/>
          <w:sz w:val="23"/>
          <w:szCs w:val="23"/>
        </w:rPr>
        <w:t xml:space="preserve">– </w:t>
      </w:r>
      <w:r w:rsidRPr="00BF7A50">
        <w:rPr>
          <w:rFonts w:ascii="Arial" w:hAnsi="Arial" w:cs="Arial"/>
          <w:color w:val="000000"/>
          <w:sz w:val="23"/>
          <w:szCs w:val="23"/>
        </w:rPr>
        <w:t xml:space="preserve">uguale intenzionalità di favorire il compimento di reati e dunque concorso in essi”. </w:t>
      </w:r>
      <w:r w:rsidRPr="00BF7A50">
        <w:rPr>
          <w:rFonts w:ascii="Arial" w:hAnsi="Arial" w:cs="Arial"/>
          <w:color w:val="000000"/>
          <w:sz w:val="23"/>
          <w:szCs w:val="23"/>
        </w:rPr>
        <w:t xml:space="preserve">È </w:t>
      </w:r>
      <w:r w:rsidRPr="00BF7A50">
        <w:rPr>
          <w:rFonts w:ascii="Arial" w:hAnsi="Arial" w:cs="Arial"/>
          <w:color w:val="000000"/>
          <w:sz w:val="23"/>
          <w:szCs w:val="23"/>
        </w:rPr>
        <w:t xml:space="preserve">la </w:t>
      </w:r>
      <w:r w:rsidRPr="00BF7A50">
        <w:rPr>
          <w:rFonts w:ascii="Arial" w:hAnsi="Arial" w:cs="Arial"/>
          <w:b/>
          <w:bCs/>
          <w:color w:val="000000"/>
          <w:sz w:val="23"/>
          <w:szCs w:val="23"/>
        </w:rPr>
        <w:t>richiesta</w:t>
      </w:r>
      <w:r w:rsidRPr="00BF7A50">
        <w:rPr>
          <w:rFonts w:ascii="Arial" w:hAnsi="Arial" w:cs="Arial"/>
          <w:color w:val="000000"/>
          <w:sz w:val="23"/>
          <w:szCs w:val="23"/>
        </w:rPr>
        <w:t xml:space="preserve"> formulata dai commissari straordinari del Consiglio nazionale dei commercialisti, </w:t>
      </w:r>
      <w:r w:rsidRPr="00BF7A50">
        <w:rPr>
          <w:rFonts w:ascii="Arial" w:hAnsi="Arial" w:cs="Arial"/>
          <w:b/>
          <w:bCs/>
          <w:color w:val="000000"/>
          <w:sz w:val="23"/>
          <w:szCs w:val="23"/>
        </w:rPr>
        <w:t>Rosario Giorgio Costa</w:t>
      </w:r>
      <w:r w:rsidRPr="00BF7A50">
        <w:rPr>
          <w:rFonts w:ascii="Arial" w:hAnsi="Arial" w:cs="Arial"/>
          <w:color w:val="000000"/>
          <w:sz w:val="23"/>
          <w:szCs w:val="23"/>
        </w:rPr>
        <w:t xml:space="preserve">, </w:t>
      </w:r>
      <w:r w:rsidRPr="00BF7A50">
        <w:rPr>
          <w:rFonts w:ascii="Arial" w:hAnsi="Arial" w:cs="Arial"/>
          <w:b/>
          <w:bCs/>
          <w:color w:val="000000"/>
          <w:sz w:val="23"/>
          <w:szCs w:val="23"/>
        </w:rPr>
        <w:t>Paolo Giugliano</w:t>
      </w:r>
      <w:r w:rsidRPr="00BF7A50">
        <w:rPr>
          <w:rFonts w:ascii="Arial" w:hAnsi="Arial" w:cs="Arial"/>
          <w:color w:val="000000"/>
          <w:sz w:val="23"/>
          <w:szCs w:val="23"/>
        </w:rPr>
        <w:t xml:space="preserve"> e </w:t>
      </w:r>
      <w:r w:rsidRPr="00BF7A50">
        <w:rPr>
          <w:rFonts w:ascii="Arial" w:hAnsi="Arial" w:cs="Arial"/>
          <w:b/>
          <w:bCs/>
          <w:color w:val="000000"/>
          <w:sz w:val="23"/>
          <w:szCs w:val="23"/>
        </w:rPr>
        <w:t>Maria Rachele Vigani</w:t>
      </w:r>
      <w:r w:rsidRPr="00BF7A50">
        <w:rPr>
          <w:rFonts w:ascii="Arial" w:hAnsi="Arial" w:cs="Arial"/>
          <w:color w:val="000000"/>
          <w:sz w:val="23"/>
          <w:szCs w:val="23"/>
        </w:rPr>
        <w:t>, in un documento inviato alla Commissione ministeriale per la revisione dei reati fallimentari.  </w:t>
      </w:r>
    </w:p>
    <w:p w14:paraId="0FD1D0A6" w14:textId="77777777" w:rsidR="00660EBC" w:rsidRPr="00BF7A50" w:rsidRDefault="00660EBC" w:rsidP="00660EBC">
      <w:pPr>
        <w:jc w:val="both"/>
        <w:rPr>
          <w:color w:val="000000"/>
          <w:sz w:val="23"/>
          <w:szCs w:val="23"/>
        </w:rPr>
      </w:pPr>
      <w:r w:rsidRPr="00BF7A50">
        <w:rPr>
          <w:rFonts w:ascii="Arial" w:hAnsi="Arial" w:cs="Arial"/>
          <w:color w:val="000000"/>
          <w:sz w:val="23"/>
          <w:szCs w:val="23"/>
        </w:rPr>
        <w:t> </w:t>
      </w:r>
    </w:p>
    <w:p w14:paraId="7F3E19BD" w14:textId="44BF661A" w:rsidR="00660EBC" w:rsidRPr="00BF7A50" w:rsidRDefault="00660EBC" w:rsidP="00660EBC">
      <w:pPr>
        <w:jc w:val="both"/>
        <w:rPr>
          <w:color w:val="000000"/>
          <w:sz w:val="23"/>
          <w:szCs w:val="23"/>
        </w:rPr>
      </w:pPr>
      <w:r w:rsidRPr="00BF7A50">
        <w:rPr>
          <w:rFonts w:ascii="Arial" w:hAnsi="Arial" w:cs="Arial"/>
          <w:color w:val="000000"/>
          <w:sz w:val="23"/>
          <w:szCs w:val="23"/>
        </w:rPr>
        <w:t xml:space="preserve">“Il tema dei reati fallimentari – scrivono nel documento </w:t>
      </w:r>
      <w:r w:rsidR="00090245">
        <w:rPr>
          <w:rFonts w:ascii="Arial" w:hAnsi="Arial" w:cs="Arial"/>
          <w:color w:val="000000"/>
          <w:sz w:val="23"/>
          <w:szCs w:val="23"/>
        </w:rPr>
        <w:t>–</w:t>
      </w:r>
      <w:r w:rsidRPr="00BF7A50">
        <w:rPr>
          <w:rFonts w:ascii="Arial" w:hAnsi="Arial" w:cs="Arial"/>
          <w:color w:val="000000"/>
          <w:sz w:val="23"/>
          <w:szCs w:val="23"/>
        </w:rPr>
        <w:t xml:space="preserve"> ha rilevanti riflessi sulle </w:t>
      </w:r>
      <w:r w:rsidRPr="00BF7A50">
        <w:rPr>
          <w:rFonts w:ascii="Arial" w:hAnsi="Arial" w:cs="Arial"/>
          <w:b/>
          <w:bCs/>
          <w:color w:val="000000"/>
          <w:sz w:val="23"/>
          <w:szCs w:val="23"/>
        </w:rPr>
        <w:t>responsabilità</w:t>
      </w:r>
      <w:r w:rsidRPr="00BF7A50">
        <w:rPr>
          <w:rFonts w:ascii="Arial" w:hAnsi="Arial" w:cs="Arial"/>
          <w:color w:val="000000"/>
          <w:sz w:val="23"/>
          <w:szCs w:val="23"/>
        </w:rPr>
        <w:t xml:space="preserve"> che i commercialisti assumono nell’attività di ausiliario del giudice, così come di professionista che assiste le imprese nella fase di crisi, così come ancora, e forse maggiormente, nei delicatissimi aspetti afferenti </w:t>
      </w:r>
      <w:r w:rsidR="00BF7A50" w:rsidRPr="00BF7A50">
        <w:rPr>
          <w:rFonts w:ascii="Arial" w:hAnsi="Arial" w:cs="Arial"/>
          <w:color w:val="000000"/>
          <w:sz w:val="23"/>
          <w:szCs w:val="23"/>
        </w:rPr>
        <w:t>al</w:t>
      </w:r>
      <w:r w:rsidRPr="00BF7A50">
        <w:rPr>
          <w:rFonts w:ascii="Arial" w:hAnsi="Arial" w:cs="Arial"/>
          <w:color w:val="000000"/>
          <w:sz w:val="23"/>
          <w:szCs w:val="23"/>
        </w:rPr>
        <w:t xml:space="preserve">la funzione di </w:t>
      </w:r>
      <w:r w:rsidRPr="00BF7A50">
        <w:rPr>
          <w:rFonts w:ascii="Arial" w:hAnsi="Arial" w:cs="Arial"/>
          <w:b/>
          <w:bCs/>
          <w:color w:val="000000"/>
          <w:sz w:val="23"/>
          <w:szCs w:val="23"/>
        </w:rPr>
        <w:t>sindaco di società commerciali</w:t>
      </w:r>
      <w:r w:rsidRPr="00BF7A50">
        <w:rPr>
          <w:rFonts w:ascii="Arial" w:hAnsi="Arial" w:cs="Arial"/>
          <w:color w:val="000000"/>
          <w:sz w:val="23"/>
          <w:szCs w:val="23"/>
        </w:rPr>
        <w:t xml:space="preserve">”. Proprio sulla punibilità a titolo di dolo eventuale dei componenti il Collegio sindacale, i tre commissari sottolineano che “preoccupa tanto i commercialisti alla luce delle </w:t>
      </w:r>
      <w:r w:rsidRPr="00BF7A50">
        <w:rPr>
          <w:rFonts w:ascii="Arial" w:hAnsi="Arial" w:cs="Arial"/>
          <w:b/>
          <w:bCs/>
          <w:color w:val="000000"/>
          <w:sz w:val="23"/>
          <w:szCs w:val="23"/>
        </w:rPr>
        <w:t>pronunce giurisprudenziali</w:t>
      </w:r>
      <w:r w:rsidRPr="00BF7A50">
        <w:rPr>
          <w:rFonts w:ascii="Arial" w:hAnsi="Arial" w:cs="Arial"/>
          <w:color w:val="000000"/>
          <w:sz w:val="23"/>
          <w:szCs w:val="23"/>
        </w:rPr>
        <w:t xml:space="preserve"> che vanno formandosi e delle conseguenti azioni che le </w:t>
      </w:r>
      <w:r w:rsidRPr="00BF7A50">
        <w:rPr>
          <w:rFonts w:ascii="Arial" w:hAnsi="Arial" w:cs="Arial"/>
          <w:b/>
          <w:bCs/>
          <w:color w:val="000000"/>
          <w:sz w:val="23"/>
          <w:szCs w:val="23"/>
        </w:rPr>
        <w:t>Procure della Repubblica</w:t>
      </w:r>
      <w:r w:rsidRPr="00BF7A50">
        <w:rPr>
          <w:rFonts w:ascii="Arial" w:hAnsi="Arial" w:cs="Arial"/>
          <w:color w:val="000000"/>
          <w:sz w:val="23"/>
          <w:szCs w:val="23"/>
        </w:rPr>
        <w:t xml:space="preserve"> tendono sempre più ad incardinare. Preoccupazioni che si riflettono nell’</w:t>
      </w:r>
      <w:r w:rsidRPr="00BF7A50">
        <w:rPr>
          <w:rFonts w:ascii="Arial" w:hAnsi="Arial" w:cs="Arial"/>
          <w:b/>
          <w:bCs/>
          <w:color w:val="000000"/>
          <w:sz w:val="23"/>
          <w:szCs w:val="23"/>
        </w:rPr>
        <w:t>operato quotidiano</w:t>
      </w:r>
      <w:r w:rsidRPr="00BF7A50">
        <w:rPr>
          <w:rFonts w:ascii="Arial" w:hAnsi="Arial" w:cs="Arial"/>
          <w:color w:val="000000"/>
          <w:sz w:val="23"/>
          <w:szCs w:val="23"/>
        </w:rPr>
        <w:t xml:space="preserve">, sempre più condizionato da timori di future e dunque postume letture che minano la </w:t>
      </w:r>
      <w:r w:rsidRPr="00BF7A50">
        <w:rPr>
          <w:rFonts w:ascii="Arial" w:hAnsi="Arial" w:cs="Arial"/>
          <w:b/>
          <w:bCs/>
          <w:color w:val="000000"/>
          <w:sz w:val="23"/>
          <w:szCs w:val="23"/>
        </w:rPr>
        <w:t>serenità di giudizio</w:t>
      </w:r>
      <w:r w:rsidRPr="00BF7A50">
        <w:rPr>
          <w:rFonts w:ascii="Arial" w:hAnsi="Arial" w:cs="Arial"/>
          <w:color w:val="000000"/>
          <w:sz w:val="23"/>
          <w:szCs w:val="23"/>
        </w:rPr>
        <w:t xml:space="preserve"> del professionista e l’efficacia della propria opera professionale a tutela non solo dell’</w:t>
      </w:r>
      <w:r w:rsidRPr="00BF7A50">
        <w:rPr>
          <w:rFonts w:ascii="Arial" w:hAnsi="Arial" w:cs="Arial"/>
          <w:b/>
          <w:bCs/>
          <w:color w:val="000000"/>
          <w:sz w:val="23"/>
          <w:szCs w:val="23"/>
        </w:rPr>
        <w:t>impresa</w:t>
      </w:r>
      <w:r w:rsidRPr="00BF7A50">
        <w:rPr>
          <w:rFonts w:ascii="Arial" w:hAnsi="Arial" w:cs="Arial"/>
          <w:color w:val="000000"/>
          <w:sz w:val="23"/>
          <w:szCs w:val="23"/>
        </w:rPr>
        <w:t xml:space="preserve">, ma della </w:t>
      </w:r>
      <w:r w:rsidRPr="00BF7A50">
        <w:rPr>
          <w:rFonts w:ascii="Arial" w:hAnsi="Arial" w:cs="Arial"/>
          <w:b/>
          <w:bCs/>
          <w:color w:val="000000"/>
          <w:sz w:val="23"/>
          <w:szCs w:val="23"/>
        </w:rPr>
        <w:t>fede pubblica</w:t>
      </w:r>
      <w:r w:rsidRPr="00BF7A50">
        <w:rPr>
          <w:rFonts w:ascii="Arial" w:hAnsi="Arial" w:cs="Arial"/>
          <w:color w:val="000000"/>
          <w:sz w:val="23"/>
          <w:szCs w:val="23"/>
        </w:rPr>
        <w:t>”.  </w:t>
      </w:r>
    </w:p>
    <w:p w14:paraId="0C6E52A9" w14:textId="77777777" w:rsidR="00660EBC" w:rsidRPr="00BF7A50" w:rsidRDefault="00660EBC" w:rsidP="00660EBC">
      <w:pPr>
        <w:jc w:val="both"/>
        <w:rPr>
          <w:color w:val="000000"/>
          <w:sz w:val="23"/>
          <w:szCs w:val="23"/>
        </w:rPr>
      </w:pPr>
      <w:r w:rsidRPr="00BF7A50">
        <w:rPr>
          <w:rFonts w:ascii="Arial" w:hAnsi="Arial" w:cs="Arial"/>
          <w:color w:val="000000"/>
          <w:sz w:val="23"/>
          <w:szCs w:val="23"/>
        </w:rPr>
        <w:t> </w:t>
      </w:r>
    </w:p>
    <w:p w14:paraId="7F65DF8D" w14:textId="77777777" w:rsidR="00660EBC" w:rsidRPr="00BF7A50" w:rsidRDefault="00660EBC" w:rsidP="00660EBC">
      <w:pPr>
        <w:jc w:val="both"/>
        <w:rPr>
          <w:color w:val="000000"/>
          <w:sz w:val="23"/>
          <w:szCs w:val="23"/>
        </w:rPr>
      </w:pPr>
      <w:r w:rsidRPr="00BF7A50">
        <w:rPr>
          <w:rFonts w:ascii="Arial" w:hAnsi="Arial" w:cs="Arial"/>
          <w:color w:val="000000"/>
          <w:sz w:val="23"/>
          <w:szCs w:val="23"/>
        </w:rPr>
        <w:t>“I soggetti che non hanno la diretta gestione dell’impresa, ma doveri di controllo e di impedimento dell’evento illecito, come avviene per i componenti del collegio sindacale, sono spesso chiamati a rispondere – proseguono - a titolo di dolo eventuale e per non aver impedito l’evento, dei reati commessi dagli amministratori. Il “</w:t>
      </w:r>
      <w:r w:rsidRPr="00BF7A50">
        <w:rPr>
          <w:rFonts w:ascii="Arial" w:hAnsi="Arial" w:cs="Arial"/>
          <w:b/>
          <w:bCs/>
          <w:color w:val="000000"/>
          <w:sz w:val="23"/>
          <w:szCs w:val="23"/>
        </w:rPr>
        <w:t>non aver impedito</w:t>
      </w:r>
      <w:r w:rsidRPr="00BF7A50">
        <w:rPr>
          <w:rFonts w:ascii="Arial" w:hAnsi="Arial" w:cs="Arial"/>
          <w:color w:val="000000"/>
          <w:sz w:val="23"/>
          <w:szCs w:val="23"/>
        </w:rPr>
        <w:t xml:space="preserve">” presuppone la sussistenza di </w:t>
      </w:r>
      <w:r w:rsidRPr="00BF7A50">
        <w:rPr>
          <w:rFonts w:ascii="Arial" w:hAnsi="Arial" w:cs="Arial"/>
          <w:b/>
          <w:bCs/>
          <w:color w:val="000000"/>
          <w:sz w:val="23"/>
          <w:szCs w:val="23"/>
        </w:rPr>
        <w:t>poteri impeditivi</w:t>
      </w:r>
      <w:r w:rsidRPr="00BF7A50">
        <w:rPr>
          <w:rFonts w:ascii="Arial" w:hAnsi="Arial" w:cs="Arial"/>
          <w:color w:val="000000"/>
          <w:sz w:val="23"/>
          <w:szCs w:val="23"/>
        </w:rPr>
        <w:t xml:space="preserve"> che il Collegio Sindacale evidentemente non ha né per le legge, né può avere per prassi”.  </w:t>
      </w:r>
    </w:p>
    <w:p w14:paraId="023E3357" w14:textId="77777777" w:rsidR="00660EBC" w:rsidRPr="00BF7A50" w:rsidRDefault="00660EBC" w:rsidP="00660EBC">
      <w:pPr>
        <w:jc w:val="both"/>
        <w:rPr>
          <w:color w:val="000000"/>
          <w:sz w:val="23"/>
          <w:szCs w:val="23"/>
        </w:rPr>
      </w:pPr>
      <w:r w:rsidRPr="00BF7A50">
        <w:rPr>
          <w:rFonts w:ascii="Arial" w:hAnsi="Arial" w:cs="Arial"/>
          <w:color w:val="000000"/>
          <w:sz w:val="23"/>
          <w:szCs w:val="23"/>
        </w:rPr>
        <w:t> </w:t>
      </w:r>
    </w:p>
    <w:p w14:paraId="274441AF" w14:textId="77777777" w:rsidR="00660EBC" w:rsidRPr="00BF7A50" w:rsidRDefault="00660EBC" w:rsidP="00660EBC">
      <w:pPr>
        <w:jc w:val="both"/>
        <w:rPr>
          <w:color w:val="000000"/>
          <w:sz w:val="23"/>
          <w:szCs w:val="23"/>
        </w:rPr>
      </w:pPr>
      <w:r w:rsidRPr="00BF7A50">
        <w:rPr>
          <w:rFonts w:ascii="Arial" w:hAnsi="Arial" w:cs="Arial"/>
          <w:color w:val="000000"/>
          <w:sz w:val="23"/>
          <w:szCs w:val="23"/>
        </w:rPr>
        <w:t xml:space="preserve">Secondo i tre esponenti della categoria professionale “il regime che nella prassi giudiziaria governa la responsabilità penale dei componenti del Collegio Sindacale spesso si traduce in una vera e propria </w:t>
      </w:r>
      <w:r w:rsidRPr="00BF7A50">
        <w:rPr>
          <w:rFonts w:ascii="Arial" w:hAnsi="Arial" w:cs="Arial"/>
          <w:b/>
          <w:bCs/>
          <w:color w:val="000000"/>
          <w:sz w:val="23"/>
          <w:szCs w:val="23"/>
        </w:rPr>
        <w:t>responsabilità oggettiva</w:t>
      </w:r>
      <w:r w:rsidRPr="00BF7A50">
        <w:rPr>
          <w:rFonts w:ascii="Arial" w:hAnsi="Arial" w:cs="Arial"/>
          <w:color w:val="000000"/>
          <w:sz w:val="23"/>
          <w:szCs w:val="23"/>
        </w:rPr>
        <w:t xml:space="preserve">. In </w:t>
      </w:r>
      <w:r w:rsidRPr="00BF7A50">
        <w:rPr>
          <w:rFonts w:ascii="Arial" w:hAnsi="Arial" w:cs="Arial"/>
          <w:b/>
          <w:bCs/>
          <w:color w:val="000000"/>
          <w:sz w:val="23"/>
          <w:szCs w:val="23"/>
        </w:rPr>
        <w:t>contrasto</w:t>
      </w:r>
      <w:r w:rsidRPr="00BF7A50">
        <w:rPr>
          <w:rFonts w:ascii="Arial" w:hAnsi="Arial" w:cs="Arial"/>
          <w:color w:val="000000"/>
          <w:sz w:val="23"/>
          <w:szCs w:val="23"/>
        </w:rPr>
        <w:t xml:space="preserve"> con tutti i più elementari principi del diritto penale, vi è una </w:t>
      </w:r>
      <w:r w:rsidRPr="00BF7A50">
        <w:rPr>
          <w:rFonts w:ascii="Arial" w:hAnsi="Arial" w:cs="Arial"/>
          <w:b/>
          <w:bCs/>
          <w:color w:val="000000"/>
          <w:sz w:val="23"/>
          <w:szCs w:val="23"/>
        </w:rPr>
        <w:t>presunzione di colpevolezza</w:t>
      </w:r>
      <w:r w:rsidRPr="00BF7A50">
        <w:rPr>
          <w:rFonts w:ascii="Arial" w:hAnsi="Arial" w:cs="Arial"/>
          <w:color w:val="000000"/>
          <w:sz w:val="23"/>
          <w:szCs w:val="23"/>
        </w:rPr>
        <w:t xml:space="preserve"> a carico dei componenti del Collegio sindacale, con una conseguente </w:t>
      </w:r>
      <w:r w:rsidRPr="00BF7A50">
        <w:rPr>
          <w:rFonts w:ascii="Arial" w:hAnsi="Arial" w:cs="Arial"/>
          <w:b/>
          <w:bCs/>
          <w:color w:val="000000"/>
          <w:sz w:val="23"/>
          <w:szCs w:val="23"/>
        </w:rPr>
        <w:t>inversione dell’onere della prova</w:t>
      </w:r>
      <w:r w:rsidRPr="00BF7A50">
        <w:rPr>
          <w:rFonts w:ascii="Arial" w:hAnsi="Arial" w:cs="Arial"/>
          <w:color w:val="000000"/>
          <w:sz w:val="23"/>
          <w:szCs w:val="23"/>
        </w:rPr>
        <w:t>, spesso del tutto impossibile da superare. In presenza di “</w:t>
      </w:r>
      <w:r w:rsidRPr="00BF7A50">
        <w:rPr>
          <w:rFonts w:ascii="Arial" w:hAnsi="Arial" w:cs="Arial"/>
          <w:b/>
          <w:bCs/>
          <w:color w:val="000000"/>
          <w:sz w:val="23"/>
          <w:szCs w:val="23"/>
        </w:rPr>
        <w:t>segnali di allarme</w:t>
      </w:r>
      <w:r w:rsidRPr="00BF7A50">
        <w:rPr>
          <w:rFonts w:ascii="Arial" w:hAnsi="Arial" w:cs="Arial"/>
          <w:color w:val="000000"/>
          <w:sz w:val="23"/>
          <w:szCs w:val="23"/>
        </w:rPr>
        <w:t xml:space="preserve">”, spetta al sindaco dare la prova di non essersi reso conto della loro esistenza e delle loro implicazioni: si tratta, evidentemente, di prova di regola impossibile da dare. </w:t>
      </w:r>
      <w:r w:rsidRPr="00BF7A50">
        <w:rPr>
          <w:rFonts w:ascii="Arial" w:hAnsi="Arial" w:cs="Arial"/>
          <w:b/>
          <w:bCs/>
          <w:color w:val="000000"/>
          <w:sz w:val="23"/>
          <w:szCs w:val="23"/>
        </w:rPr>
        <w:t>L’assurda conseguenza</w:t>
      </w:r>
      <w:r w:rsidRPr="00BF7A50">
        <w:rPr>
          <w:rFonts w:ascii="Arial" w:hAnsi="Arial" w:cs="Arial"/>
          <w:color w:val="000000"/>
          <w:sz w:val="23"/>
          <w:szCs w:val="23"/>
        </w:rPr>
        <w:t xml:space="preserve"> è che molto di frequente i sindaci sono chiamati a rispondere per </w:t>
      </w:r>
      <w:r w:rsidRPr="00BF7A50">
        <w:rPr>
          <w:rFonts w:ascii="Arial" w:hAnsi="Arial" w:cs="Arial"/>
          <w:b/>
          <w:bCs/>
          <w:color w:val="000000"/>
          <w:sz w:val="23"/>
          <w:szCs w:val="23"/>
        </w:rPr>
        <w:t xml:space="preserve">mera colpa </w:t>
      </w:r>
      <w:r w:rsidRPr="00BF7A50">
        <w:rPr>
          <w:rFonts w:ascii="Arial" w:hAnsi="Arial" w:cs="Arial"/>
          <w:color w:val="000000"/>
          <w:sz w:val="23"/>
          <w:szCs w:val="23"/>
        </w:rPr>
        <w:t>di reati gravissimi, in teoria punibili solo a titolo di dolo. Laddove anche la colpa sia grave, in carenza dell’intenzionalità non si dovrebbe mai qualificare la stessa come dolo, cosa che accade sempre più frequentemente nelle azioni intraprese dalle Procure della Repubblica in forza dell’</w:t>
      </w:r>
      <w:r w:rsidRPr="00BF7A50">
        <w:rPr>
          <w:rFonts w:ascii="Arial" w:hAnsi="Arial" w:cs="Arial"/>
          <w:b/>
          <w:bCs/>
          <w:color w:val="000000"/>
          <w:sz w:val="23"/>
          <w:szCs w:val="23"/>
        </w:rPr>
        <w:t xml:space="preserve">indiscriminato ampliamento </w:t>
      </w:r>
      <w:r w:rsidRPr="00BF7A50">
        <w:rPr>
          <w:rFonts w:ascii="Arial" w:hAnsi="Arial" w:cs="Arial"/>
          <w:color w:val="000000"/>
          <w:sz w:val="23"/>
          <w:szCs w:val="23"/>
        </w:rPr>
        <w:t>della fattispecie giurisprudenziale del dolo eventuale”.  </w:t>
      </w:r>
    </w:p>
    <w:p w14:paraId="0098AF72" w14:textId="77777777" w:rsidR="00660EBC" w:rsidRPr="00BF7A50" w:rsidRDefault="00660EBC" w:rsidP="00660EBC">
      <w:pPr>
        <w:jc w:val="both"/>
        <w:rPr>
          <w:color w:val="000000"/>
          <w:sz w:val="23"/>
          <w:szCs w:val="23"/>
        </w:rPr>
      </w:pPr>
      <w:r w:rsidRPr="00BF7A50">
        <w:rPr>
          <w:rFonts w:ascii="Arial" w:hAnsi="Arial" w:cs="Arial"/>
          <w:color w:val="000000"/>
          <w:sz w:val="23"/>
          <w:szCs w:val="23"/>
        </w:rPr>
        <w:lastRenderedPageBreak/>
        <w:t> </w:t>
      </w:r>
    </w:p>
    <w:p w14:paraId="7C8F5CDC" w14:textId="77777777" w:rsidR="00660EBC" w:rsidRPr="00BF7A50" w:rsidRDefault="00660EBC" w:rsidP="00660EBC">
      <w:pPr>
        <w:jc w:val="both"/>
        <w:rPr>
          <w:color w:val="000000"/>
          <w:sz w:val="23"/>
          <w:szCs w:val="23"/>
        </w:rPr>
      </w:pPr>
      <w:r w:rsidRPr="00BF7A50">
        <w:rPr>
          <w:rFonts w:ascii="Arial" w:hAnsi="Arial" w:cs="Arial"/>
          <w:color w:val="000000"/>
          <w:sz w:val="23"/>
          <w:szCs w:val="23"/>
        </w:rPr>
        <w:t xml:space="preserve">Il Consiglio nazionale dei commercialisti auspica che “venga presa in esame una </w:t>
      </w:r>
      <w:r w:rsidRPr="00BF7A50">
        <w:rPr>
          <w:rFonts w:ascii="Arial" w:hAnsi="Arial" w:cs="Arial"/>
          <w:b/>
          <w:bCs/>
          <w:color w:val="000000"/>
          <w:sz w:val="23"/>
          <w:szCs w:val="23"/>
        </w:rPr>
        <w:t>ridefinizione del perimetro delle fattispecie del reato</w:t>
      </w:r>
      <w:r w:rsidRPr="00BF7A50">
        <w:rPr>
          <w:rFonts w:ascii="Arial" w:hAnsi="Arial" w:cs="Arial"/>
          <w:color w:val="000000"/>
          <w:sz w:val="23"/>
          <w:szCs w:val="23"/>
        </w:rPr>
        <w:t xml:space="preserve">”. Due le soluzioni alternative prospettate dalla categoria: richiedere per tali reati in capo ai sindaci, che sia </w:t>
      </w:r>
      <w:r w:rsidRPr="00BF7A50">
        <w:rPr>
          <w:rFonts w:ascii="Arial" w:hAnsi="Arial" w:cs="Arial"/>
          <w:b/>
          <w:bCs/>
          <w:color w:val="000000"/>
          <w:sz w:val="23"/>
          <w:szCs w:val="23"/>
        </w:rPr>
        <w:t>provato</w:t>
      </w:r>
      <w:r w:rsidRPr="00BF7A50">
        <w:rPr>
          <w:rFonts w:ascii="Arial" w:hAnsi="Arial" w:cs="Arial"/>
          <w:color w:val="000000"/>
          <w:sz w:val="23"/>
          <w:szCs w:val="23"/>
        </w:rPr>
        <w:t xml:space="preserve"> fin dagli atti di accusa il </w:t>
      </w:r>
      <w:r w:rsidRPr="00BF7A50">
        <w:rPr>
          <w:rFonts w:ascii="Arial" w:hAnsi="Arial" w:cs="Arial"/>
          <w:b/>
          <w:bCs/>
          <w:color w:val="000000"/>
          <w:sz w:val="23"/>
          <w:szCs w:val="23"/>
        </w:rPr>
        <w:t>requisito della “intenzionalità”</w:t>
      </w:r>
      <w:r w:rsidRPr="00BF7A50">
        <w:rPr>
          <w:rFonts w:ascii="Arial" w:hAnsi="Arial" w:cs="Arial"/>
          <w:color w:val="000000"/>
          <w:sz w:val="23"/>
          <w:szCs w:val="23"/>
        </w:rPr>
        <w:t xml:space="preserve">, il quale consentirebbe di escludere che la mera accettazione del rischio, e perciò il paradigma del dolo eventuale, sia applicabile nei loro confronti. Oppure richiedere l’esistenza della prova della </w:t>
      </w:r>
      <w:r w:rsidRPr="00BF7A50">
        <w:rPr>
          <w:rFonts w:ascii="Arial" w:hAnsi="Arial" w:cs="Arial"/>
          <w:b/>
          <w:bCs/>
          <w:color w:val="000000"/>
          <w:sz w:val="23"/>
          <w:szCs w:val="23"/>
        </w:rPr>
        <w:t xml:space="preserve">effettiva conoscenza </w:t>
      </w:r>
      <w:r w:rsidRPr="00BF7A50">
        <w:rPr>
          <w:rFonts w:ascii="Arial" w:hAnsi="Arial" w:cs="Arial"/>
          <w:color w:val="000000"/>
          <w:sz w:val="23"/>
          <w:szCs w:val="23"/>
        </w:rPr>
        <w:t xml:space="preserve">di </w:t>
      </w:r>
      <w:r w:rsidRPr="00BF7A50">
        <w:rPr>
          <w:rFonts w:ascii="Arial" w:hAnsi="Arial" w:cs="Arial"/>
          <w:b/>
          <w:bCs/>
          <w:color w:val="000000"/>
          <w:sz w:val="23"/>
          <w:szCs w:val="23"/>
        </w:rPr>
        <w:t>segnali di allarme</w:t>
      </w:r>
      <w:r w:rsidRPr="00BF7A50">
        <w:rPr>
          <w:rFonts w:ascii="Arial" w:hAnsi="Arial" w:cs="Arial"/>
          <w:color w:val="000000"/>
          <w:sz w:val="23"/>
          <w:szCs w:val="23"/>
        </w:rPr>
        <w:t xml:space="preserve"> di tale entità da rendere </w:t>
      </w:r>
      <w:r w:rsidRPr="00BF7A50">
        <w:rPr>
          <w:rFonts w:ascii="Arial" w:hAnsi="Arial" w:cs="Arial"/>
          <w:b/>
          <w:bCs/>
          <w:color w:val="000000"/>
          <w:sz w:val="23"/>
          <w:szCs w:val="23"/>
        </w:rPr>
        <w:t>altamente probabile</w:t>
      </w:r>
      <w:r w:rsidRPr="00BF7A50">
        <w:rPr>
          <w:rFonts w:ascii="Arial" w:hAnsi="Arial" w:cs="Arial"/>
          <w:color w:val="000000"/>
          <w:sz w:val="23"/>
          <w:szCs w:val="23"/>
        </w:rPr>
        <w:t xml:space="preserve"> la commissione di illeciti penalmente rilevanti e così che la accettazione del rischio sia tale da integrare la intenzionalità di favorirne il compimento. Questo per evitare che quella conoscenza sia oggetto di presunzione”.  </w:t>
      </w:r>
    </w:p>
    <w:p w14:paraId="22EA69D2" w14:textId="77777777" w:rsidR="00660EBC" w:rsidRPr="00BF7A50" w:rsidRDefault="00660EBC" w:rsidP="00660EBC">
      <w:pPr>
        <w:jc w:val="both"/>
        <w:rPr>
          <w:color w:val="000000"/>
          <w:sz w:val="23"/>
          <w:szCs w:val="23"/>
        </w:rPr>
      </w:pPr>
      <w:r w:rsidRPr="00BF7A50">
        <w:rPr>
          <w:rFonts w:ascii="Arial" w:hAnsi="Arial" w:cs="Arial"/>
          <w:color w:val="000000"/>
          <w:sz w:val="23"/>
          <w:szCs w:val="23"/>
        </w:rPr>
        <w:t> </w:t>
      </w:r>
    </w:p>
    <w:p w14:paraId="15EA7316" w14:textId="3A1F7B6D" w:rsidR="00660EBC" w:rsidRPr="00BF7A50" w:rsidRDefault="00660EBC" w:rsidP="00660EBC">
      <w:pPr>
        <w:jc w:val="both"/>
        <w:rPr>
          <w:color w:val="000000"/>
          <w:sz w:val="23"/>
          <w:szCs w:val="23"/>
        </w:rPr>
      </w:pPr>
      <w:r w:rsidRPr="00BF7A50">
        <w:rPr>
          <w:rFonts w:ascii="Arial" w:hAnsi="Arial" w:cs="Arial"/>
          <w:color w:val="000000"/>
          <w:sz w:val="23"/>
          <w:szCs w:val="23"/>
        </w:rPr>
        <w:t xml:space="preserve">I commercialisti sottolineano anche “che le azioni penali assumono per il professionista una </w:t>
      </w:r>
      <w:r w:rsidRPr="00BF7A50">
        <w:rPr>
          <w:rFonts w:ascii="Arial" w:hAnsi="Arial" w:cs="Arial"/>
          <w:b/>
          <w:bCs/>
          <w:color w:val="000000"/>
          <w:sz w:val="23"/>
          <w:szCs w:val="23"/>
        </w:rPr>
        <w:t>valenza reputazionale</w:t>
      </w:r>
      <w:r w:rsidRPr="00BF7A50">
        <w:rPr>
          <w:rFonts w:ascii="Arial" w:hAnsi="Arial" w:cs="Arial"/>
          <w:color w:val="000000"/>
          <w:sz w:val="23"/>
          <w:szCs w:val="23"/>
        </w:rPr>
        <w:t xml:space="preserve"> molto gravosa, ma nondimeno escludono </w:t>
      </w:r>
      <w:r w:rsidRPr="00AE7CA1">
        <w:rPr>
          <w:rFonts w:ascii="Arial" w:hAnsi="Arial" w:cs="Arial"/>
          <w:i/>
          <w:iCs/>
          <w:color w:val="000000"/>
          <w:sz w:val="23"/>
          <w:szCs w:val="23"/>
        </w:rPr>
        <w:t>in nuce</w:t>
      </w:r>
      <w:r w:rsidRPr="00BF7A50">
        <w:rPr>
          <w:rFonts w:ascii="Arial" w:hAnsi="Arial" w:cs="Arial"/>
          <w:color w:val="000000"/>
          <w:sz w:val="23"/>
          <w:szCs w:val="23"/>
        </w:rPr>
        <w:t xml:space="preserve"> la possibilità di avvalersi almeno della </w:t>
      </w:r>
      <w:r w:rsidRPr="00BF7A50">
        <w:rPr>
          <w:rFonts w:ascii="Arial" w:hAnsi="Arial" w:cs="Arial"/>
          <w:b/>
          <w:bCs/>
          <w:color w:val="000000"/>
          <w:sz w:val="23"/>
          <w:szCs w:val="23"/>
        </w:rPr>
        <w:t>copertura assicurativa</w:t>
      </w:r>
      <w:r w:rsidRPr="00BF7A50">
        <w:rPr>
          <w:rFonts w:ascii="Arial" w:hAnsi="Arial" w:cs="Arial"/>
          <w:color w:val="000000"/>
          <w:sz w:val="23"/>
          <w:szCs w:val="23"/>
        </w:rPr>
        <w:t xml:space="preserve"> per i danni da responsabilità civile. Le polizze assicurative professionali </w:t>
      </w:r>
      <w:r w:rsidRPr="00BF7A50">
        <w:rPr>
          <w:rFonts w:ascii="Arial" w:hAnsi="Arial" w:cs="Arial"/>
          <w:b/>
          <w:bCs/>
          <w:color w:val="000000"/>
          <w:sz w:val="23"/>
          <w:szCs w:val="23"/>
        </w:rPr>
        <w:t>escludono</w:t>
      </w:r>
      <w:r w:rsidRPr="00BF7A50">
        <w:rPr>
          <w:rFonts w:ascii="Arial" w:hAnsi="Arial" w:cs="Arial"/>
          <w:color w:val="000000"/>
          <w:sz w:val="23"/>
          <w:szCs w:val="23"/>
        </w:rPr>
        <w:t xml:space="preserve"> la copertura di danni pur in sede civile quando essa discenda da responsabilità di natura penale, il che si traduce nella esposizione del professionista finanche a rischi di </w:t>
      </w:r>
      <w:r w:rsidRPr="00BF7A50">
        <w:rPr>
          <w:rFonts w:ascii="Arial" w:hAnsi="Arial" w:cs="Arial"/>
          <w:b/>
          <w:bCs/>
          <w:color w:val="000000"/>
          <w:sz w:val="23"/>
          <w:szCs w:val="23"/>
        </w:rPr>
        <w:t>provvedimenti cautelari</w:t>
      </w:r>
      <w:r w:rsidRPr="00BF7A50">
        <w:rPr>
          <w:rFonts w:ascii="Arial" w:hAnsi="Arial" w:cs="Arial"/>
          <w:color w:val="000000"/>
          <w:sz w:val="23"/>
          <w:szCs w:val="23"/>
        </w:rPr>
        <w:t xml:space="preserve"> che rappresentano per lo stesso di per sé un danno irreparabile, tanto più alla luce della eccessiva durata dei procedimenti penali nel nostro Paese. Anche per questo – concludono i tre commissari </w:t>
      </w:r>
      <w:r w:rsidR="00090245">
        <w:rPr>
          <w:rFonts w:ascii="Arial" w:hAnsi="Arial" w:cs="Arial"/>
          <w:color w:val="000000"/>
          <w:sz w:val="23"/>
          <w:szCs w:val="23"/>
        </w:rPr>
        <w:t>–</w:t>
      </w:r>
      <w:r w:rsidRPr="00BF7A50">
        <w:rPr>
          <w:rFonts w:ascii="Arial" w:hAnsi="Arial" w:cs="Arial"/>
          <w:color w:val="000000"/>
          <w:sz w:val="23"/>
          <w:szCs w:val="23"/>
        </w:rPr>
        <w:t xml:space="preserve"> il Consiglio nazionale dei commercialisti auspica che la Commissione “prenda in esame ogni possibile soluzione normativa atta a ripristinare il </w:t>
      </w:r>
      <w:r w:rsidRPr="00BF7A50">
        <w:rPr>
          <w:rFonts w:ascii="Arial" w:hAnsi="Arial" w:cs="Arial"/>
          <w:b/>
          <w:bCs/>
          <w:color w:val="000000"/>
          <w:sz w:val="23"/>
          <w:szCs w:val="23"/>
        </w:rPr>
        <w:t>confine da condotte colpose e condotte dolose</w:t>
      </w:r>
      <w:r w:rsidRPr="00BF7A50">
        <w:rPr>
          <w:rFonts w:ascii="Arial" w:hAnsi="Arial" w:cs="Arial"/>
          <w:color w:val="000000"/>
          <w:sz w:val="23"/>
          <w:szCs w:val="23"/>
        </w:rPr>
        <w:t>, così che i procedimenti di natura penale coinvolgano i professionisti solo quando essi hanno agito intenzionalmente”.  </w:t>
      </w:r>
    </w:p>
    <w:p w14:paraId="66FBA709" w14:textId="77777777" w:rsidR="004251B1" w:rsidRPr="00BF7A50" w:rsidRDefault="004251B1" w:rsidP="004251B1">
      <w:pPr>
        <w:jc w:val="both"/>
        <w:rPr>
          <w:rFonts w:ascii="Arial" w:hAnsi="Arial" w:cs="Arial"/>
          <w:sz w:val="23"/>
          <w:szCs w:val="23"/>
        </w:rPr>
      </w:pPr>
    </w:p>
    <w:p w14:paraId="6ABCE2A3" w14:textId="006F93A4" w:rsidR="00DB1FE4" w:rsidRPr="00DB1FE4" w:rsidRDefault="00DB1FE4" w:rsidP="004251B1">
      <w:pPr>
        <w:jc w:val="center"/>
        <w:rPr>
          <w:rFonts w:ascii="Arial" w:hAnsi="Arial" w:cs="Arial"/>
          <w:b/>
          <w:bCs/>
        </w:rPr>
      </w:pPr>
    </w:p>
    <w:sectPr w:rsidR="00DB1FE4" w:rsidRPr="00DB1FE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CA43" w14:textId="77777777" w:rsidR="00574E59" w:rsidRDefault="00574E59" w:rsidP="0078332C">
      <w:r>
        <w:separator/>
      </w:r>
    </w:p>
  </w:endnote>
  <w:endnote w:type="continuationSeparator" w:id="0">
    <w:p w14:paraId="1C4BB143" w14:textId="77777777" w:rsidR="00574E59" w:rsidRDefault="00574E59"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38F0" w14:textId="77777777" w:rsidR="00574E59" w:rsidRDefault="00574E59" w:rsidP="0078332C">
      <w:r>
        <w:separator/>
      </w:r>
    </w:p>
  </w:footnote>
  <w:footnote w:type="continuationSeparator" w:id="0">
    <w:p w14:paraId="57D82F1D" w14:textId="77777777" w:rsidR="00574E59" w:rsidRDefault="00574E59"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0CB63AF4" wp14:editId="460061CE">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3A22"/>
    <w:rsid w:val="00004BCE"/>
    <w:rsid w:val="00022A7F"/>
    <w:rsid w:val="00024A50"/>
    <w:rsid w:val="00031015"/>
    <w:rsid w:val="00032856"/>
    <w:rsid w:val="000329A4"/>
    <w:rsid w:val="00032DE7"/>
    <w:rsid w:val="000348C0"/>
    <w:rsid w:val="00037091"/>
    <w:rsid w:val="00037896"/>
    <w:rsid w:val="00040CAD"/>
    <w:rsid w:val="0004434F"/>
    <w:rsid w:val="00053052"/>
    <w:rsid w:val="000539AC"/>
    <w:rsid w:val="0006018A"/>
    <w:rsid w:val="0007464D"/>
    <w:rsid w:val="000806B0"/>
    <w:rsid w:val="00081B93"/>
    <w:rsid w:val="00082FFB"/>
    <w:rsid w:val="00090245"/>
    <w:rsid w:val="00090CE4"/>
    <w:rsid w:val="0009108B"/>
    <w:rsid w:val="00093834"/>
    <w:rsid w:val="000971A3"/>
    <w:rsid w:val="000B3EFF"/>
    <w:rsid w:val="000C0552"/>
    <w:rsid w:val="000C19B1"/>
    <w:rsid w:val="000C7FB4"/>
    <w:rsid w:val="000D01B1"/>
    <w:rsid w:val="000D7385"/>
    <w:rsid w:val="000D7847"/>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B1912"/>
    <w:rsid w:val="001C67E1"/>
    <w:rsid w:val="001C6BDD"/>
    <w:rsid w:val="001C7913"/>
    <w:rsid w:val="001C7A99"/>
    <w:rsid w:val="001C7E5F"/>
    <w:rsid w:val="001D456F"/>
    <w:rsid w:val="001E7260"/>
    <w:rsid w:val="001F19BC"/>
    <w:rsid w:val="00202900"/>
    <w:rsid w:val="00203E6B"/>
    <w:rsid w:val="002062BE"/>
    <w:rsid w:val="00215734"/>
    <w:rsid w:val="0021644F"/>
    <w:rsid w:val="00216654"/>
    <w:rsid w:val="002204CC"/>
    <w:rsid w:val="00221234"/>
    <w:rsid w:val="0022378E"/>
    <w:rsid w:val="0022580D"/>
    <w:rsid w:val="0024011F"/>
    <w:rsid w:val="002438B0"/>
    <w:rsid w:val="00243BD7"/>
    <w:rsid w:val="00260C1E"/>
    <w:rsid w:val="00272605"/>
    <w:rsid w:val="00281202"/>
    <w:rsid w:val="0028246D"/>
    <w:rsid w:val="00286C68"/>
    <w:rsid w:val="00294D14"/>
    <w:rsid w:val="002973C7"/>
    <w:rsid w:val="002A1399"/>
    <w:rsid w:val="002A3814"/>
    <w:rsid w:val="002A59A1"/>
    <w:rsid w:val="002A70B5"/>
    <w:rsid w:val="002A76BF"/>
    <w:rsid w:val="002A7C92"/>
    <w:rsid w:val="002A7FD0"/>
    <w:rsid w:val="002B0732"/>
    <w:rsid w:val="002B4C29"/>
    <w:rsid w:val="002B62EA"/>
    <w:rsid w:val="002C27DE"/>
    <w:rsid w:val="002C7311"/>
    <w:rsid w:val="002D2034"/>
    <w:rsid w:val="002D684B"/>
    <w:rsid w:val="002F3E9E"/>
    <w:rsid w:val="002F4704"/>
    <w:rsid w:val="002F6036"/>
    <w:rsid w:val="00303A76"/>
    <w:rsid w:val="0030574C"/>
    <w:rsid w:val="00312A48"/>
    <w:rsid w:val="00313354"/>
    <w:rsid w:val="00313737"/>
    <w:rsid w:val="00320A8F"/>
    <w:rsid w:val="0033082E"/>
    <w:rsid w:val="00332874"/>
    <w:rsid w:val="00333544"/>
    <w:rsid w:val="00333957"/>
    <w:rsid w:val="00353EE3"/>
    <w:rsid w:val="0035503D"/>
    <w:rsid w:val="0036445C"/>
    <w:rsid w:val="00365C91"/>
    <w:rsid w:val="00366188"/>
    <w:rsid w:val="00371B42"/>
    <w:rsid w:val="003738DE"/>
    <w:rsid w:val="003808D1"/>
    <w:rsid w:val="00392245"/>
    <w:rsid w:val="00397281"/>
    <w:rsid w:val="003A03BB"/>
    <w:rsid w:val="003B000F"/>
    <w:rsid w:val="003B24D0"/>
    <w:rsid w:val="003B7329"/>
    <w:rsid w:val="003C1946"/>
    <w:rsid w:val="003C1AD8"/>
    <w:rsid w:val="003C53E7"/>
    <w:rsid w:val="003D1DEE"/>
    <w:rsid w:val="003D59CF"/>
    <w:rsid w:val="003E0F52"/>
    <w:rsid w:val="003E1A7E"/>
    <w:rsid w:val="003E6287"/>
    <w:rsid w:val="003E753F"/>
    <w:rsid w:val="00400CE9"/>
    <w:rsid w:val="00422B71"/>
    <w:rsid w:val="004251B1"/>
    <w:rsid w:val="004251EF"/>
    <w:rsid w:val="00443042"/>
    <w:rsid w:val="0047270A"/>
    <w:rsid w:val="00472F6D"/>
    <w:rsid w:val="00476C15"/>
    <w:rsid w:val="00485F00"/>
    <w:rsid w:val="004875FA"/>
    <w:rsid w:val="00493DC9"/>
    <w:rsid w:val="004964DA"/>
    <w:rsid w:val="004A44B8"/>
    <w:rsid w:val="004A6888"/>
    <w:rsid w:val="004B2695"/>
    <w:rsid w:val="004D6396"/>
    <w:rsid w:val="004F1170"/>
    <w:rsid w:val="004F4736"/>
    <w:rsid w:val="004F56A8"/>
    <w:rsid w:val="004F7362"/>
    <w:rsid w:val="00500E13"/>
    <w:rsid w:val="00505AE2"/>
    <w:rsid w:val="00511C1B"/>
    <w:rsid w:val="005122BE"/>
    <w:rsid w:val="00513967"/>
    <w:rsid w:val="00520E1B"/>
    <w:rsid w:val="00522FFA"/>
    <w:rsid w:val="00531523"/>
    <w:rsid w:val="00534AD7"/>
    <w:rsid w:val="00536016"/>
    <w:rsid w:val="00542311"/>
    <w:rsid w:val="00543860"/>
    <w:rsid w:val="00544970"/>
    <w:rsid w:val="005551E7"/>
    <w:rsid w:val="00555885"/>
    <w:rsid w:val="005564F8"/>
    <w:rsid w:val="005625A8"/>
    <w:rsid w:val="005636DE"/>
    <w:rsid w:val="00564A2D"/>
    <w:rsid w:val="005673AC"/>
    <w:rsid w:val="00574E59"/>
    <w:rsid w:val="0057755A"/>
    <w:rsid w:val="005779CB"/>
    <w:rsid w:val="0058002D"/>
    <w:rsid w:val="00580C25"/>
    <w:rsid w:val="005816F1"/>
    <w:rsid w:val="00582D74"/>
    <w:rsid w:val="00583CB0"/>
    <w:rsid w:val="00584F92"/>
    <w:rsid w:val="00585518"/>
    <w:rsid w:val="005867E8"/>
    <w:rsid w:val="005868B1"/>
    <w:rsid w:val="00590F83"/>
    <w:rsid w:val="0059237D"/>
    <w:rsid w:val="00592CA1"/>
    <w:rsid w:val="005959E4"/>
    <w:rsid w:val="005A3A3F"/>
    <w:rsid w:val="005B45B5"/>
    <w:rsid w:val="005D1AAA"/>
    <w:rsid w:val="005D2CEA"/>
    <w:rsid w:val="005D2D5F"/>
    <w:rsid w:val="005D35A5"/>
    <w:rsid w:val="005D3873"/>
    <w:rsid w:val="005D455A"/>
    <w:rsid w:val="005D6006"/>
    <w:rsid w:val="005E42F5"/>
    <w:rsid w:val="005E4D40"/>
    <w:rsid w:val="005F2F00"/>
    <w:rsid w:val="005F5B57"/>
    <w:rsid w:val="005F684F"/>
    <w:rsid w:val="00616CB9"/>
    <w:rsid w:val="00616CEE"/>
    <w:rsid w:val="006273CC"/>
    <w:rsid w:val="00637B93"/>
    <w:rsid w:val="00640434"/>
    <w:rsid w:val="00641C3C"/>
    <w:rsid w:val="00651FFD"/>
    <w:rsid w:val="00656C55"/>
    <w:rsid w:val="00660EBC"/>
    <w:rsid w:val="0066338C"/>
    <w:rsid w:val="00667B8F"/>
    <w:rsid w:val="00677A10"/>
    <w:rsid w:val="00684F9D"/>
    <w:rsid w:val="006A0D3B"/>
    <w:rsid w:val="006A4451"/>
    <w:rsid w:val="006C3945"/>
    <w:rsid w:val="006C6818"/>
    <w:rsid w:val="006C7063"/>
    <w:rsid w:val="006E43CD"/>
    <w:rsid w:val="006F4DC7"/>
    <w:rsid w:val="00717DC7"/>
    <w:rsid w:val="00726188"/>
    <w:rsid w:val="007262E1"/>
    <w:rsid w:val="00736E95"/>
    <w:rsid w:val="007415B1"/>
    <w:rsid w:val="007423B1"/>
    <w:rsid w:val="007513BE"/>
    <w:rsid w:val="007551B7"/>
    <w:rsid w:val="0075696B"/>
    <w:rsid w:val="00764D9D"/>
    <w:rsid w:val="007816BA"/>
    <w:rsid w:val="00782159"/>
    <w:rsid w:val="0078332C"/>
    <w:rsid w:val="007835B6"/>
    <w:rsid w:val="007C14B1"/>
    <w:rsid w:val="007C3A93"/>
    <w:rsid w:val="007C5CCD"/>
    <w:rsid w:val="007D4196"/>
    <w:rsid w:val="007E44E2"/>
    <w:rsid w:val="008005AB"/>
    <w:rsid w:val="0080283B"/>
    <w:rsid w:val="0080797B"/>
    <w:rsid w:val="0081381B"/>
    <w:rsid w:val="00813FF6"/>
    <w:rsid w:val="00831294"/>
    <w:rsid w:val="00832BE3"/>
    <w:rsid w:val="00851572"/>
    <w:rsid w:val="00855840"/>
    <w:rsid w:val="008600AC"/>
    <w:rsid w:val="00863104"/>
    <w:rsid w:val="0087487D"/>
    <w:rsid w:val="00886628"/>
    <w:rsid w:val="00892238"/>
    <w:rsid w:val="00892C1F"/>
    <w:rsid w:val="00893AB6"/>
    <w:rsid w:val="00896010"/>
    <w:rsid w:val="00897D6B"/>
    <w:rsid w:val="008B3BB7"/>
    <w:rsid w:val="008C5ED3"/>
    <w:rsid w:val="008D5C4B"/>
    <w:rsid w:val="008E141E"/>
    <w:rsid w:val="00900B88"/>
    <w:rsid w:val="0090438E"/>
    <w:rsid w:val="00907687"/>
    <w:rsid w:val="00920E08"/>
    <w:rsid w:val="0093430A"/>
    <w:rsid w:val="00934F3D"/>
    <w:rsid w:val="00935333"/>
    <w:rsid w:val="009477ED"/>
    <w:rsid w:val="009570D6"/>
    <w:rsid w:val="009618F5"/>
    <w:rsid w:val="0097646E"/>
    <w:rsid w:val="00980E02"/>
    <w:rsid w:val="009813D9"/>
    <w:rsid w:val="00986756"/>
    <w:rsid w:val="00987ED2"/>
    <w:rsid w:val="00993E86"/>
    <w:rsid w:val="009965B6"/>
    <w:rsid w:val="009A1934"/>
    <w:rsid w:val="009A1B3D"/>
    <w:rsid w:val="009A33C1"/>
    <w:rsid w:val="009C468C"/>
    <w:rsid w:val="009D0B50"/>
    <w:rsid w:val="009D1F36"/>
    <w:rsid w:val="009D5B30"/>
    <w:rsid w:val="009E0C7E"/>
    <w:rsid w:val="009F0C91"/>
    <w:rsid w:val="009F4399"/>
    <w:rsid w:val="00A007E5"/>
    <w:rsid w:val="00A057F7"/>
    <w:rsid w:val="00A07FB9"/>
    <w:rsid w:val="00A12594"/>
    <w:rsid w:val="00A250F1"/>
    <w:rsid w:val="00A27583"/>
    <w:rsid w:val="00A27E42"/>
    <w:rsid w:val="00A34135"/>
    <w:rsid w:val="00A41F47"/>
    <w:rsid w:val="00A428F4"/>
    <w:rsid w:val="00A46131"/>
    <w:rsid w:val="00A47BEF"/>
    <w:rsid w:val="00A52294"/>
    <w:rsid w:val="00A6097D"/>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D014A"/>
    <w:rsid w:val="00AD5F80"/>
    <w:rsid w:val="00AE3DBA"/>
    <w:rsid w:val="00AE7CA1"/>
    <w:rsid w:val="00AF747D"/>
    <w:rsid w:val="00B01322"/>
    <w:rsid w:val="00B14747"/>
    <w:rsid w:val="00B15621"/>
    <w:rsid w:val="00B34200"/>
    <w:rsid w:val="00B42691"/>
    <w:rsid w:val="00B74510"/>
    <w:rsid w:val="00B84EF5"/>
    <w:rsid w:val="00B90683"/>
    <w:rsid w:val="00B926C3"/>
    <w:rsid w:val="00B92AC0"/>
    <w:rsid w:val="00BA04F4"/>
    <w:rsid w:val="00BA499D"/>
    <w:rsid w:val="00BB02DF"/>
    <w:rsid w:val="00BB2E5B"/>
    <w:rsid w:val="00BB7EE6"/>
    <w:rsid w:val="00BC5E35"/>
    <w:rsid w:val="00BD0510"/>
    <w:rsid w:val="00BD2206"/>
    <w:rsid w:val="00BD6259"/>
    <w:rsid w:val="00BF096F"/>
    <w:rsid w:val="00BF37E8"/>
    <w:rsid w:val="00BF3A80"/>
    <w:rsid w:val="00BF7A50"/>
    <w:rsid w:val="00C302BD"/>
    <w:rsid w:val="00C30E85"/>
    <w:rsid w:val="00C33494"/>
    <w:rsid w:val="00C342D6"/>
    <w:rsid w:val="00C418FB"/>
    <w:rsid w:val="00C427E4"/>
    <w:rsid w:val="00C51F27"/>
    <w:rsid w:val="00C81BB1"/>
    <w:rsid w:val="00C8551E"/>
    <w:rsid w:val="00C92F98"/>
    <w:rsid w:val="00C93548"/>
    <w:rsid w:val="00CA4152"/>
    <w:rsid w:val="00CA676E"/>
    <w:rsid w:val="00CB14A8"/>
    <w:rsid w:val="00CE403B"/>
    <w:rsid w:val="00CE4727"/>
    <w:rsid w:val="00CF22E4"/>
    <w:rsid w:val="00CF6388"/>
    <w:rsid w:val="00CF7BCA"/>
    <w:rsid w:val="00D027DD"/>
    <w:rsid w:val="00D02F53"/>
    <w:rsid w:val="00D04ABF"/>
    <w:rsid w:val="00D078C6"/>
    <w:rsid w:val="00D07944"/>
    <w:rsid w:val="00D12802"/>
    <w:rsid w:val="00D21FB3"/>
    <w:rsid w:val="00D25628"/>
    <w:rsid w:val="00D27080"/>
    <w:rsid w:val="00D32BB8"/>
    <w:rsid w:val="00D37415"/>
    <w:rsid w:val="00D569A1"/>
    <w:rsid w:val="00D65267"/>
    <w:rsid w:val="00D65875"/>
    <w:rsid w:val="00D75105"/>
    <w:rsid w:val="00D92E6B"/>
    <w:rsid w:val="00DA27BF"/>
    <w:rsid w:val="00DA7914"/>
    <w:rsid w:val="00DB1FE4"/>
    <w:rsid w:val="00DB6F21"/>
    <w:rsid w:val="00DC2C88"/>
    <w:rsid w:val="00DC2C9E"/>
    <w:rsid w:val="00DD07C2"/>
    <w:rsid w:val="00DD43CD"/>
    <w:rsid w:val="00DD6F05"/>
    <w:rsid w:val="00DE78C6"/>
    <w:rsid w:val="00DF3633"/>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7E70"/>
    <w:rsid w:val="00EC079F"/>
    <w:rsid w:val="00ED08A8"/>
    <w:rsid w:val="00ED093C"/>
    <w:rsid w:val="00ED2970"/>
    <w:rsid w:val="00ED2BA2"/>
    <w:rsid w:val="00EE3C69"/>
    <w:rsid w:val="00EE50F8"/>
    <w:rsid w:val="00EE51A4"/>
    <w:rsid w:val="00EF3ACF"/>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character" w:styleId="Menzionenonrisolta">
    <w:name w:val="Unresolved Mention"/>
    <w:basedOn w:val="Carpredefinitoparagrafo"/>
    <w:uiPriority w:val="99"/>
    <w:semiHidden/>
    <w:unhideWhenUsed/>
    <w:rsid w:val="0033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234902626">
      <w:bodyDiv w:val="1"/>
      <w:marLeft w:val="0"/>
      <w:marRight w:val="0"/>
      <w:marTop w:val="0"/>
      <w:marBottom w:val="0"/>
      <w:divBdr>
        <w:top w:val="none" w:sz="0" w:space="0" w:color="auto"/>
        <w:left w:val="none" w:sz="0" w:space="0" w:color="auto"/>
        <w:bottom w:val="none" w:sz="0" w:space="0" w:color="auto"/>
        <w:right w:val="none" w:sz="0" w:space="0" w:color="auto"/>
      </w:divBdr>
    </w:div>
    <w:div w:id="323361700">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818</Words>
  <Characters>4663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6</cp:revision>
  <cp:lastPrinted>2020-01-14T09:44:00Z</cp:lastPrinted>
  <dcterms:created xsi:type="dcterms:W3CDTF">2022-05-05T08:22:00Z</dcterms:created>
  <dcterms:modified xsi:type="dcterms:W3CDTF">2022-05-05T08:25:00Z</dcterms:modified>
</cp:coreProperties>
</file>