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9451" w14:textId="21ABBC67" w:rsidR="00D91512" w:rsidRPr="00585D22" w:rsidRDefault="00D91512" w:rsidP="002E51B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585D22">
        <w:rPr>
          <w:rFonts w:ascii="Arial" w:hAnsi="Arial" w:cs="Arial"/>
          <w:b/>
          <w:bCs/>
          <w:sz w:val="21"/>
          <w:szCs w:val="21"/>
          <w:u w:val="single"/>
        </w:rPr>
        <w:t>C</w:t>
      </w:r>
      <w:r w:rsidR="002E51B1" w:rsidRPr="00585D22">
        <w:rPr>
          <w:rFonts w:ascii="Arial" w:hAnsi="Arial" w:cs="Arial"/>
          <w:b/>
          <w:bCs/>
          <w:sz w:val="21"/>
          <w:szCs w:val="21"/>
          <w:u w:val="single"/>
        </w:rPr>
        <w:t>omunicato stampa</w:t>
      </w:r>
    </w:p>
    <w:p w14:paraId="1A7A50D1" w14:textId="77777777" w:rsidR="002E51B1" w:rsidRPr="00585D22" w:rsidRDefault="002E51B1" w:rsidP="002E51B1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492CBDC8" w14:textId="634DBD60" w:rsidR="00D91512" w:rsidRPr="00585D22" w:rsidRDefault="002E51B1" w:rsidP="002E51B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85D22">
        <w:rPr>
          <w:rFonts w:ascii="Arial" w:hAnsi="Arial" w:cs="Arial"/>
          <w:b/>
          <w:bCs/>
          <w:sz w:val="21"/>
          <w:szCs w:val="21"/>
        </w:rPr>
        <w:t>SUPERBONUS, COMMERCIALISTI: “RISOLVERE CRITICITÀ NEL DECRETO”</w:t>
      </w:r>
    </w:p>
    <w:p w14:paraId="4BEACB54" w14:textId="77777777" w:rsidR="002E51B1" w:rsidRPr="00585D22" w:rsidRDefault="002E51B1" w:rsidP="002E51B1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EAB05A0" w14:textId="2278C2FD" w:rsidR="00D91512" w:rsidRPr="00585D22" w:rsidRDefault="00D91512" w:rsidP="002E51B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585D22">
        <w:rPr>
          <w:rFonts w:ascii="Arial" w:hAnsi="Arial" w:cs="Arial"/>
          <w:b/>
          <w:bCs/>
          <w:sz w:val="21"/>
          <w:szCs w:val="21"/>
        </w:rPr>
        <w:t>Il presidente nazionale della categoria</w:t>
      </w:r>
      <w:r w:rsidR="0072111E" w:rsidRPr="00585D22">
        <w:rPr>
          <w:rFonts w:ascii="Arial" w:hAnsi="Arial" w:cs="Arial"/>
          <w:b/>
          <w:bCs/>
          <w:sz w:val="21"/>
          <w:szCs w:val="21"/>
        </w:rPr>
        <w:t xml:space="preserve">, Elbano de Nuccio, </w:t>
      </w:r>
      <w:r w:rsidRPr="00585D22">
        <w:rPr>
          <w:rFonts w:ascii="Arial" w:hAnsi="Arial" w:cs="Arial"/>
          <w:b/>
          <w:bCs/>
          <w:sz w:val="21"/>
          <w:szCs w:val="21"/>
        </w:rPr>
        <w:t>scrive a Giorgetti e Leo: “Evitare penalizzazione per i contribuenti”</w:t>
      </w:r>
    </w:p>
    <w:p w14:paraId="795668E4" w14:textId="77777777" w:rsidR="002E51B1" w:rsidRPr="00585D22" w:rsidRDefault="002E51B1" w:rsidP="002E51B1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1D8E508" w14:textId="56C1F6A2" w:rsidR="00D91512" w:rsidRPr="00585D22" w:rsidRDefault="00D91512" w:rsidP="002E51B1">
      <w:pPr>
        <w:jc w:val="both"/>
        <w:rPr>
          <w:rFonts w:ascii="Arial" w:hAnsi="Arial" w:cs="Arial"/>
          <w:sz w:val="21"/>
          <w:szCs w:val="21"/>
        </w:rPr>
      </w:pPr>
      <w:r w:rsidRPr="00585D22">
        <w:rPr>
          <w:rFonts w:ascii="Arial" w:hAnsi="Arial" w:cs="Arial"/>
          <w:i/>
          <w:iCs/>
          <w:sz w:val="21"/>
          <w:szCs w:val="21"/>
        </w:rPr>
        <w:t>Roma, 2 aprile 2024 –</w:t>
      </w:r>
      <w:r w:rsidRPr="00585D22">
        <w:rPr>
          <w:rFonts w:ascii="Arial" w:hAnsi="Arial" w:cs="Arial"/>
          <w:sz w:val="21"/>
          <w:szCs w:val="21"/>
        </w:rPr>
        <w:t xml:space="preserve"> Superare </w:t>
      </w:r>
      <w:r w:rsidR="0070068D" w:rsidRPr="00585D22">
        <w:rPr>
          <w:rFonts w:ascii="Arial" w:hAnsi="Arial" w:cs="Arial"/>
          <w:sz w:val="21"/>
          <w:szCs w:val="21"/>
        </w:rPr>
        <w:t>“</w:t>
      </w:r>
      <w:r w:rsidRPr="00585D22">
        <w:rPr>
          <w:rFonts w:ascii="Arial" w:hAnsi="Arial" w:cs="Arial"/>
          <w:sz w:val="21"/>
          <w:szCs w:val="21"/>
        </w:rPr>
        <w:t xml:space="preserve">alcune </w:t>
      </w:r>
      <w:r w:rsidR="00141E57" w:rsidRPr="00585D22">
        <w:rPr>
          <w:rFonts w:ascii="Arial" w:hAnsi="Arial" w:cs="Arial"/>
          <w:b/>
          <w:bCs/>
          <w:sz w:val="21"/>
          <w:szCs w:val="21"/>
        </w:rPr>
        <w:t xml:space="preserve">rilevanti </w:t>
      </w:r>
      <w:r w:rsidRPr="00585D22">
        <w:rPr>
          <w:rFonts w:ascii="Arial" w:hAnsi="Arial" w:cs="Arial"/>
          <w:b/>
          <w:bCs/>
          <w:sz w:val="21"/>
          <w:szCs w:val="21"/>
        </w:rPr>
        <w:t>criticità</w:t>
      </w:r>
      <w:r w:rsidR="0070068D" w:rsidRPr="00585D22">
        <w:rPr>
          <w:rFonts w:ascii="Arial" w:hAnsi="Arial" w:cs="Arial"/>
          <w:sz w:val="21"/>
          <w:szCs w:val="21"/>
        </w:rPr>
        <w:t>”</w:t>
      </w:r>
      <w:r w:rsidRPr="00585D22">
        <w:rPr>
          <w:rFonts w:ascii="Arial" w:hAnsi="Arial" w:cs="Arial"/>
          <w:sz w:val="21"/>
          <w:szCs w:val="21"/>
        </w:rPr>
        <w:t xml:space="preserve"> presenti nel Decreto-legge n. 39 del 29</w:t>
      </w:r>
      <w:r w:rsidR="00A710C1" w:rsidRPr="00585D22">
        <w:rPr>
          <w:rFonts w:ascii="Arial" w:hAnsi="Arial" w:cs="Arial"/>
          <w:sz w:val="21"/>
          <w:szCs w:val="21"/>
        </w:rPr>
        <w:t xml:space="preserve"> marzo 2024</w:t>
      </w:r>
      <w:r w:rsidRPr="00585D22">
        <w:rPr>
          <w:rFonts w:ascii="Arial" w:hAnsi="Arial" w:cs="Arial"/>
          <w:sz w:val="21"/>
          <w:szCs w:val="21"/>
        </w:rPr>
        <w:t xml:space="preserve"> che ha apportato “ulteriori e rilevanti modifiche in materia di </w:t>
      </w:r>
      <w:r w:rsidRPr="00585D22">
        <w:rPr>
          <w:rFonts w:ascii="Arial" w:hAnsi="Arial" w:cs="Arial"/>
          <w:b/>
          <w:bCs/>
          <w:sz w:val="21"/>
          <w:szCs w:val="21"/>
        </w:rPr>
        <w:t>bonus edilizi</w:t>
      </w:r>
      <w:r w:rsidRPr="00585D22">
        <w:rPr>
          <w:rFonts w:ascii="Arial" w:hAnsi="Arial" w:cs="Arial"/>
          <w:sz w:val="21"/>
          <w:szCs w:val="21"/>
        </w:rPr>
        <w:t xml:space="preserve">, in particolare per quanto attiene alle opzioni per la </w:t>
      </w:r>
      <w:r w:rsidRPr="00585D22">
        <w:rPr>
          <w:rFonts w:ascii="Arial" w:hAnsi="Arial" w:cs="Arial"/>
          <w:b/>
          <w:bCs/>
          <w:sz w:val="21"/>
          <w:szCs w:val="21"/>
        </w:rPr>
        <w:t>cessione del credito</w:t>
      </w:r>
      <w:r w:rsidRPr="00585D22">
        <w:rPr>
          <w:rFonts w:ascii="Arial" w:hAnsi="Arial" w:cs="Arial"/>
          <w:sz w:val="21"/>
          <w:szCs w:val="21"/>
        </w:rPr>
        <w:t xml:space="preserve"> e lo </w:t>
      </w:r>
      <w:r w:rsidRPr="00585D22">
        <w:rPr>
          <w:rFonts w:ascii="Arial" w:hAnsi="Arial" w:cs="Arial"/>
          <w:b/>
          <w:bCs/>
          <w:sz w:val="21"/>
          <w:szCs w:val="21"/>
        </w:rPr>
        <w:t>sconto in fattura</w:t>
      </w:r>
      <w:r w:rsidRPr="00585D22">
        <w:rPr>
          <w:rFonts w:ascii="Arial" w:hAnsi="Arial" w:cs="Arial"/>
          <w:sz w:val="21"/>
          <w:szCs w:val="21"/>
        </w:rPr>
        <w:t xml:space="preserve"> che, salvo casi residuali rivolti a soggetti colpiti da eventi sismici, sono state definitivamente abrogate”. </w:t>
      </w:r>
      <w:r w:rsidR="00141E57" w:rsidRPr="00585D22">
        <w:rPr>
          <w:rFonts w:ascii="Arial" w:hAnsi="Arial" w:cs="Arial"/>
          <w:sz w:val="21"/>
          <w:szCs w:val="21"/>
        </w:rPr>
        <w:t>È</w:t>
      </w:r>
      <w:r w:rsidRPr="00585D22">
        <w:rPr>
          <w:rFonts w:ascii="Arial" w:hAnsi="Arial" w:cs="Arial"/>
          <w:sz w:val="21"/>
          <w:szCs w:val="21"/>
        </w:rPr>
        <w:t xml:space="preserve"> la richiesta avanzata dal Consiglio nazionale dei commercialisti in una lettera inviata oggi al Ministro e al Viceministro dell’Economia, </w:t>
      </w:r>
      <w:r w:rsidRPr="00585D22">
        <w:rPr>
          <w:rFonts w:ascii="Arial" w:hAnsi="Arial" w:cs="Arial"/>
          <w:b/>
          <w:bCs/>
          <w:sz w:val="21"/>
          <w:szCs w:val="21"/>
        </w:rPr>
        <w:t>Giancarlo Giorgetti</w:t>
      </w:r>
      <w:r w:rsidRPr="00585D22">
        <w:rPr>
          <w:rFonts w:ascii="Arial" w:hAnsi="Arial" w:cs="Arial"/>
          <w:sz w:val="21"/>
          <w:szCs w:val="21"/>
        </w:rPr>
        <w:t xml:space="preserve"> e </w:t>
      </w:r>
      <w:r w:rsidRPr="00585D22">
        <w:rPr>
          <w:rFonts w:ascii="Arial" w:hAnsi="Arial" w:cs="Arial"/>
          <w:b/>
          <w:bCs/>
          <w:sz w:val="21"/>
          <w:szCs w:val="21"/>
        </w:rPr>
        <w:t>Maurizio Leo</w:t>
      </w:r>
      <w:r w:rsidRPr="00585D22">
        <w:rPr>
          <w:rFonts w:ascii="Arial" w:hAnsi="Arial" w:cs="Arial"/>
          <w:sz w:val="21"/>
          <w:szCs w:val="21"/>
        </w:rPr>
        <w:t>.  Criticità che</w:t>
      </w:r>
      <w:r w:rsidR="00A710C1" w:rsidRPr="00585D22">
        <w:rPr>
          <w:rFonts w:ascii="Arial" w:hAnsi="Arial" w:cs="Arial"/>
          <w:sz w:val="21"/>
          <w:szCs w:val="21"/>
        </w:rPr>
        <w:t>,</w:t>
      </w:r>
      <w:r w:rsidRPr="00585D22">
        <w:rPr>
          <w:rFonts w:ascii="Arial" w:hAnsi="Arial" w:cs="Arial"/>
          <w:sz w:val="21"/>
          <w:szCs w:val="21"/>
        </w:rPr>
        <w:t xml:space="preserve"> secondo i commercialisti</w:t>
      </w:r>
      <w:r w:rsidR="00A710C1" w:rsidRPr="00585D22">
        <w:rPr>
          <w:rFonts w:ascii="Arial" w:hAnsi="Arial" w:cs="Arial"/>
          <w:sz w:val="21"/>
          <w:szCs w:val="21"/>
        </w:rPr>
        <w:t>,</w:t>
      </w:r>
      <w:r w:rsidRPr="00585D22">
        <w:rPr>
          <w:rFonts w:ascii="Arial" w:hAnsi="Arial" w:cs="Arial"/>
          <w:sz w:val="21"/>
          <w:szCs w:val="21"/>
        </w:rPr>
        <w:t xml:space="preserve"> “rischiano di essere </w:t>
      </w:r>
      <w:r w:rsidRPr="00585D22">
        <w:rPr>
          <w:rFonts w:ascii="Arial" w:hAnsi="Arial" w:cs="Arial"/>
          <w:b/>
          <w:bCs/>
          <w:sz w:val="21"/>
          <w:szCs w:val="21"/>
        </w:rPr>
        <w:t xml:space="preserve">penalizzanti </w:t>
      </w:r>
      <w:r w:rsidRPr="00585D22">
        <w:rPr>
          <w:rFonts w:ascii="Arial" w:hAnsi="Arial" w:cs="Arial"/>
          <w:sz w:val="21"/>
          <w:szCs w:val="21"/>
        </w:rPr>
        <w:t>per i contribuenti”.</w:t>
      </w:r>
    </w:p>
    <w:p w14:paraId="21EA9A66" w14:textId="77777777" w:rsidR="002E51B1" w:rsidRPr="00585D22" w:rsidRDefault="002E51B1" w:rsidP="002E51B1">
      <w:pPr>
        <w:jc w:val="both"/>
        <w:rPr>
          <w:rFonts w:ascii="Arial" w:hAnsi="Arial" w:cs="Arial"/>
          <w:sz w:val="21"/>
          <w:szCs w:val="21"/>
        </w:rPr>
      </w:pPr>
    </w:p>
    <w:p w14:paraId="4DAC1227" w14:textId="7DFA6E81" w:rsidR="00141E57" w:rsidRPr="00585D22" w:rsidRDefault="00D91512" w:rsidP="002E51B1">
      <w:pPr>
        <w:jc w:val="both"/>
        <w:rPr>
          <w:rFonts w:ascii="Arial" w:hAnsi="Arial" w:cs="Arial"/>
          <w:sz w:val="21"/>
          <w:szCs w:val="21"/>
        </w:rPr>
      </w:pPr>
      <w:r w:rsidRPr="00585D22">
        <w:rPr>
          <w:rFonts w:ascii="Arial" w:hAnsi="Arial" w:cs="Arial"/>
          <w:sz w:val="21"/>
          <w:szCs w:val="21"/>
        </w:rPr>
        <w:t xml:space="preserve">“Pur prendendo atto delle ragioni che hanno portato all’adozione del provvedimento normativo, evidentemente legate ad esigenze di </w:t>
      </w:r>
      <w:r w:rsidRPr="00585D22">
        <w:rPr>
          <w:rFonts w:ascii="Arial" w:hAnsi="Arial" w:cs="Arial"/>
          <w:b/>
          <w:bCs/>
          <w:sz w:val="21"/>
          <w:szCs w:val="21"/>
        </w:rPr>
        <w:t>salvaguardia dei conti pubblici</w:t>
      </w:r>
      <w:r w:rsidRPr="00585D22">
        <w:rPr>
          <w:rFonts w:ascii="Arial" w:hAnsi="Arial" w:cs="Arial"/>
          <w:sz w:val="21"/>
          <w:szCs w:val="21"/>
        </w:rPr>
        <w:t xml:space="preserve">”, scrive nella missiva il presidente della categoria professionale </w:t>
      </w:r>
      <w:r w:rsidRPr="00585D22">
        <w:rPr>
          <w:rFonts w:ascii="Arial" w:hAnsi="Arial" w:cs="Arial"/>
          <w:b/>
          <w:bCs/>
          <w:sz w:val="21"/>
          <w:szCs w:val="21"/>
        </w:rPr>
        <w:t>Elbano de Nuccio</w:t>
      </w:r>
      <w:r w:rsidRPr="00585D22">
        <w:rPr>
          <w:rFonts w:ascii="Arial" w:hAnsi="Arial" w:cs="Arial"/>
          <w:sz w:val="21"/>
          <w:szCs w:val="21"/>
        </w:rPr>
        <w:t xml:space="preserve">, “non posso esimermi dal segnalare alcune rilevanti criticità contenute nel citato Decreto. In particolare, l’articolo 2 inibisce l’applicazione della </w:t>
      </w:r>
      <w:r w:rsidRPr="00585D22">
        <w:rPr>
          <w:rFonts w:ascii="Arial" w:hAnsi="Arial" w:cs="Arial"/>
          <w:b/>
          <w:bCs/>
          <w:sz w:val="21"/>
          <w:szCs w:val="21"/>
        </w:rPr>
        <w:t>remissione in bonis</w:t>
      </w:r>
      <w:r w:rsidRPr="00585D22">
        <w:rPr>
          <w:rFonts w:ascii="Arial" w:hAnsi="Arial" w:cs="Arial"/>
          <w:sz w:val="21"/>
          <w:szCs w:val="21"/>
        </w:rPr>
        <w:t xml:space="preserve"> relativamente alle comunicazioni da trasmettere all’Agenzia delle Entrate entro il </w:t>
      </w:r>
      <w:r w:rsidRPr="00585D22">
        <w:rPr>
          <w:rFonts w:ascii="Arial" w:hAnsi="Arial" w:cs="Arial"/>
          <w:b/>
          <w:bCs/>
          <w:sz w:val="21"/>
          <w:szCs w:val="21"/>
        </w:rPr>
        <w:t>prossimo 4 aprile</w:t>
      </w:r>
      <w:r w:rsidRPr="00585D22">
        <w:rPr>
          <w:rFonts w:ascii="Arial" w:hAnsi="Arial" w:cs="Arial"/>
          <w:sz w:val="21"/>
          <w:szCs w:val="21"/>
        </w:rPr>
        <w:t xml:space="preserve"> per l’esercizio delle opzioni per la cessione del credito e lo sconto in fattura</w:t>
      </w:r>
      <w:r w:rsidR="00141E57" w:rsidRPr="00585D22">
        <w:rPr>
          <w:rFonts w:ascii="Arial" w:hAnsi="Arial" w:cs="Arial"/>
          <w:sz w:val="21"/>
          <w:szCs w:val="21"/>
        </w:rPr>
        <w:t>.</w:t>
      </w:r>
      <w:r w:rsidRPr="00585D22">
        <w:rPr>
          <w:rFonts w:ascii="Arial" w:hAnsi="Arial" w:cs="Arial"/>
          <w:sz w:val="21"/>
          <w:szCs w:val="21"/>
        </w:rPr>
        <w:t xml:space="preserve"> </w:t>
      </w:r>
      <w:r w:rsidR="00141E57" w:rsidRPr="00585D22">
        <w:rPr>
          <w:rFonts w:ascii="Arial" w:hAnsi="Arial" w:cs="Arial"/>
          <w:sz w:val="21"/>
          <w:szCs w:val="21"/>
        </w:rPr>
        <w:t>I</w:t>
      </w:r>
      <w:r w:rsidR="00225593" w:rsidRPr="00585D22">
        <w:rPr>
          <w:rFonts w:ascii="Arial" w:hAnsi="Arial" w:cs="Arial"/>
          <w:sz w:val="21"/>
          <w:szCs w:val="21"/>
        </w:rPr>
        <w:t>l</w:t>
      </w:r>
      <w:r w:rsidRPr="00585D22">
        <w:rPr>
          <w:rFonts w:ascii="Arial" w:hAnsi="Arial" w:cs="Arial"/>
          <w:sz w:val="21"/>
          <w:szCs w:val="21"/>
        </w:rPr>
        <w:t xml:space="preserve"> medesimo articolo impedisce</w:t>
      </w:r>
      <w:r w:rsidR="00225593" w:rsidRPr="00585D22">
        <w:rPr>
          <w:rFonts w:ascii="Arial" w:hAnsi="Arial" w:cs="Arial"/>
          <w:sz w:val="21"/>
          <w:szCs w:val="21"/>
        </w:rPr>
        <w:t>,</w:t>
      </w:r>
      <w:r w:rsidRPr="00585D22">
        <w:rPr>
          <w:rFonts w:ascii="Arial" w:hAnsi="Arial" w:cs="Arial"/>
          <w:sz w:val="21"/>
          <w:szCs w:val="21"/>
        </w:rPr>
        <w:t xml:space="preserve"> inoltre</w:t>
      </w:r>
      <w:r w:rsidR="00225593" w:rsidRPr="00585D22">
        <w:rPr>
          <w:rFonts w:ascii="Arial" w:hAnsi="Arial" w:cs="Arial"/>
          <w:sz w:val="21"/>
          <w:szCs w:val="21"/>
        </w:rPr>
        <w:t>,</w:t>
      </w:r>
      <w:r w:rsidRPr="00585D22">
        <w:rPr>
          <w:rFonts w:ascii="Arial" w:hAnsi="Arial" w:cs="Arial"/>
          <w:sz w:val="21"/>
          <w:szCs w:val="21"/>
        </w:rPr>
        <w:t xml:space="preserve"> la </w:t>
      </w:r>
      <w:r w:rsidRPr="00585D22">
        <w:rPr>
          <w:rFonts w:ascii="Arial" w:hAnsi="Arial" w:cs="Arial"/>
          <w:b/>
          <w:bCs/>
          <w:sz w:val="21"/>
          <w:szCs w:val="21"/>
        </w:rPr>
        <w:t>mera sostituzione</w:t>
      </w:r>
      <w:r w:rsidRPr="00585D22">
        <w:rPr>
          <w:rFonts w:ascii="Arial" w:hAnsi="Arial" w:cs="Arial"/>
          <w:sz w:val="21"/>
          <w:szCs w:val="21"/>
        </w:rPr>
        <w:t xml:space="preserve"> delle comunicazioni inviate </w:t>
      </w:r>
      <w:r w:rsidRPr="00585D22">
        <w:rPr>
          <w:rFonts w:ascii="Arial" w:hAnsi="Arial" w:cs="Arial"/>
          <w:b/>
          <w:bCs/>
          <w:sz w:val="21"/>
          <w:szCs w:val="21"/>
        </w:rPr>
        <w:t xml:space="preserve">dal </w:t>
      </w:r>
      <w:r w:rsidR="00225593" w:rsidRPr="00585D22">
        <w:rPr>
          <w:rFonts w:ascii="Arial" w:hAnsi="Arial" w:cs="Arial"/>
          <w:b/>
          <w:bCs/>
          <w:sz w:val="21"/>
          <w:szCs w:val="21"/>
        </w:rPr>
        <w:t xml:space="preserve">1° </w:t>
      </w:r>
      <w:r w:rsidRPr="00585D22">
        <w:rPr>
          <w:rFonts w:ascii="Arial" w:hAnsi="Arial" w:cs="Arial"/>
          <w:b/>
          <w:bCs/>
          <w:sz w:val="21"/>
          <w:szCs w:val="21"/>
        </w:rPr>
        <w:t xml:space="preserve">al </w:t>
      </w:r>
      <w:r w:rsidR="00225593" w:rsidRPr="00585D22">
        <w:rPr>
          <w:rFonts w:ascii="Arial" w:hAnsi="Arial" w:cs="Arial"/>
          <w:b/>
          <w:bCs/>
          <w:sz w:val="21"/>
          <w:szCs w:val="21"/>
        </w:rPr>
        <w:t>4</w:t>
      </w:r>
      <w:r w:rsidRPr="00585D22">
        <w:rPr>
          <w:rFonts w:ascii="Arial" w:hAnsi="Arial" w:cs="Arial"/>
          <w:b/>
          <w:bCs/>
          <w:sz w:val="21"/>
          <w:szCs w:val="21"/>
        </w:rPr>
        <w:t xml:space="preserve"> aprile 2024</w:t>
      </w:r>
      <w:r w:rsidRPr="00585D22">
        <w:rPr>
          <w:rFonts w:ascii="Arial" w:hAnsi="Arial" w:cs="Arial"/>
          <w:sz w:val="21"/>
          <w:szCs w:val="21"/>
        </w:rPr>
        <w:t xml:space="preserve">. Le ragioni di tali previsioni sono, evidentemente, legate all’esigenza di conoscere in modo puntuale il dato aggregato dell’ammontare dei crediti ceduti e scontati. Ciò non di meno, appare di immediata evidenza che la disposizione è </w:t>
      </w:r>
      <w:r w:rsidRPr="00585D22">
        <w:rPr>
          <w:rFonts w:ascii="Arial" w:hAnsi="Arial" w:cs="Arial"/>
          <w:b/>
          <w:bCs/>
          <w:sz w:val="21"/>
          <w:szCs w:val="21"/>
        </w:rPr>
        <w:t>eccessivamente penalizzante</w:t>
      </w:r>
      <w:r w:rsidRPr="00585D22">
        <w:rPr>
          <w:rFonts w:ascii="Arial" w:hAnsi="Arial" w:cs="Arial"/>
          <w:sz w:val="21"/>
          <w:szCs w:val="21"/>
        </w:rPr>
        <w:t xml:space="preserve"> in quanto crea le condizioni per cui molti contribuenti </w:t>
      </w:r>
      <w:r w:rsidRPr="00585D22">
        <w:rPr>
          <w:rFonts w:ascii="Arial" w:hAnsi="Arial" w:cs="Arial"/>
          <w:b/>
          <w:bCs/>
          <w:sz w:val="21"/>
          <w:szCs w:val="21"/>
        </w:rPr>
        <w:t>perdano le agevolazioni</w:t>
      </w:r>
      <w:r w:rsidRPr="00585D22">
        <w:rPr>
          <w:rFonts w:ascii="Arial" w:hAnsi="Arial" w:cs="Arial"/>
          <w:sz w:val="21"/>
          <w:szCs w:val="21"/>
        </w:rPr>
        <w:t xml:space="preserve">, </w:t>
      </w:r>
      <w:r w:rsidR="00225593" w:rsidRPr="00585D22">
        <w:rPr>
          <w:rFonts w:ascii="Arial" w:hAnsi="Arial" w:cs="Arial"/>
          <w:sz w:val="21"/>
          <w:szCs w:val="21"/>
        </w:rPr>
        <w:t>a</w:t>
      </w:r>
      <w:r w:rsidRPr="00585D22">
        <w:rPr>
          <w:rFonts w:ascii="Arial" w:hAnsi="Arial" w:cs="Arial"/>
          <w:sz w:val="21"/>
          <w:szCs w:val="21"/>
        </w:rPr>
        <w:t xml:space="preserve"> cui hanno </w:t>
      </w:r>
      <w:r w:rsidRPr="00585D22">
        <w:rPr>
          <w:rFonts w:ascii="Arial" w:hAnsi="Arial" w:cs="Arial"/>
          <w:b/>
          <w:bCs/>
          <w:sz w:val="21"/>
          <w:szCs w:val="21"/>
        </w:rPr>
        <w:t>pieno diritto</w:t>
      </w:r>
      <w:r w:rsidRPr="00585D22">
        <w:rPr>
          <w:rFonts w:ascii="Arial" w:hAnsi="Arial" w:cs="Arial"/>
          <w:sz w:val="21"/>
          <w:szCs w:val="21"/>
        </w:rPr>
        <w:t>, per errori commessi in buona fede (si pensi a un errore di un solo codice fiscale in un condominio di centinaia di persone)</w:t>
      </w:r>
      <w:r w:rsidR="00141E57" w:rsidRPr="00585D22">
        <w:rPr>
          <w:rFonts w:ascii="Arial" w:hAnsi="Arial" w:cs="Arial"/>
          <w:sz w:val="21"/>
          <w:szCs w:val="21"/>
        </w:rPr>
        <w:t>”.</w:t>
      </w:r>
      <w:r w:rsidRPr="00585D22">
        <w:rPr>
          <w:rFonts w:ascii="Arial" w:hAnsi="Arial" w:cs="Arial"/>
          <w:sz w:val="21"/>
          <w:szCs w:val="21"/>
        </w:rPr>
        <w:t xml:space="preserve"> </w:t>
      </w:r>
      <w:r w:rsidR="00141E57" w:rsidRPr="00585D22">
        <w:rPr>
          <w:rFonts w:ascii="Arial" w:hAnsi="Arial" w:cs="Arial"/>
          <w:sz w:val="21"/>
          <w:szCs w:val="21"/>
        </w:rPr>
        <w:t>“L</w:t>
      </w:r>
      <w:r w:rsidRPr="00585D22">
        <w:rPr>
          <w:rFonts w:ascii="Arial" w:hAnsi="Arial" w:cs="Arial"/>
          <w:sz w:val="21"/>
          <w:szCs w:val="21"/>
        </w:rPr>
        <w:t>’istituto della remissione in bonis</w:t>
      </w:r>
      <w:r w:rsidR="00141E57" w:rsidRPr="00585D22">
        <w:rPr>
          <w:rFonts w:ascii="Arial" w:hAnsi="Arial" w:cs="Arial"/>
          <w:sz w:val="21"/>
          <w:szCs w:val="21"/>
        </w:rPr>
        <w:t>”, sottolinea il numero uno dei commercialisti, “</w:t>
      </w:r>
      <w:r w:rsidRPr="00585D22">
        <w:rPr>
          <w:rFonts w:ascii="Arial" w:hAnsi="Arial" w:cs="Arial"/>
          <w:sz w:val="21"/>
          <w:szCs w:val="21"/>
        </w:rPr>
        <w:t xml:space="preserve">è stato introdotto, ben dodici anni orsono, proprio per tutelare tali comportamenti in buona fede e impedirne l’uso solo alla casistica in oggetto non appare sacrificabile a esigenze informative di contabilità pubblica. E ciò è ancor più vero per le comunicazioni inviate dal </w:t>
      </w:r>
      <w:r w:rsidR="00225593" w:rsidRPr="00585D22">
        <w:rPr>
          <w:rFonts w:ascii="Arial" w:hAnsi="Arial" w:cs="Arial"/>
          <w:sz w:val="21"/>
          <w:szCs w:val="21"/>
        </w:rPr>
        <w:t xml:space="preserve">1° </w:t>
      </w:r>
      <w:r w:rsidRPr="00585D22">
        <w:rPr>
          <w:rFonts w:ascii="Arial" w:hAnsi="Arial" w:cs="Arial"/>
          <w:sz w:val="21"/>
          <w:szCs w:val="21"/>
        </w:rPr>
        <w:t xml:space="preserve">al </w:t>
      </w:r>
      <w:r w:rsidR="00225593" w:rsidRPr="00585D22">
        <w:rPr>
          <w:rFonts w:ascii="Arial" w:hAnsi="Arial" w:cs="Arial"/>
          <w:sz w:val="21"/>
          <w:szCs w:val="21"/>
        </w:rPr>
        <w:t>4</w:t>
      </w:r>
      <w:r w:rsidRPr="00585D22">
        <w:rPr>
          <w:rFonts w:ascii="Arial" w:hAnsi="Arial" w:cs="Arial"/>
          <w:sz w:val="21"/>
          <w:szCs w:val="21"/>
        </w:rPr>
        <w:t xml:space="preserve"> aprile che non potranno essere sostituite utilizzando le procedure ordinariamente previste in caso di errori o di scarti in fase di trasmissione, il che costituisce, anche per gli </w:t>
      </w:r>
      <w:r w:rsidR="00141E57" w:rsidRPr="00585D22">
        <w:rPr>
          <w:rFonts w:ascii="Arial" w:hAnsi="Arial" w:cs="Arial"/>
          <w:sz w:val="21"/>
          <w:szCs w:val="21"/>
        </w:rPr>
        <w:t>i</w:t>
      </w:r>
      <w:r w:rsidRPr="00585D22">
        <w:rPr>
          <w:rFonts w:ascii="Arial" w:hAnsi="Arial" w:cs="Arial"/>
          <w:sz w:val="21"/>
          <w:szCs w:val="21"/>
        </w:rPr>
        <w:t xml:space="preserve">scritti che rappresento, una </w:t>
      </w:r>
      <w:r w:rsidRPr="00585D22">
        <w:rPr>
          <w:rFonts w:ascii="Arial" w:hAnsi="Arial" w:cs="Arial"/>
          <w:b/>
          <w:bCs/>
          <w:sz w:val="21"/>
          <w:szCs w:val="21"/>
        </w:rPr>
        <w:t>falcidia pericolosissima</w:t>
      </w:r>
      <w:r w:rsidRPr="00585D22">
        <w:rPr>
          <w:rFonts w:ascii="Arial" w:hAnsi="Arial" w:cs="Arial"/>
          <w:sz w:val="21"/>
          <w:szCs w:val="21"/>
        </w:rPr>
        <w:t xml:space="preserve"> considerate le condizioni </w:t>
      </w:r>
      <w:r w:rsidRPr="00585D22">
        <w:rPr>
          <w:rFonts w:ascii="Arial" w:hAnsi="Arial" w:cs="Arial"/>
          <w:b/>
          <w:bCs/>
          <w:sz w:val="21"/>
          <w:szCs w:val="21"/>
        </w:rPr>
        <w:t>incerte e frenetiche</w:t>
      </w:r>
      <w:r w:rsidRPr="00585D22">
        <w:rPr>
          <w:rFonts w:ascii="Arial" w:hAnsi="Arial" w:cs="Arial"/>
          <w:sz w:val="21"/>
          <w:szCs w:val="21"/>
        </w:rPr>
        <w:t xml:space="preserve"> in cui ci si trova ad operare</w:t>
      </w:r>
      <w:r w:rsidR="00141E57" w:rsidRPr="00585D22">
        <w:rPr>
          <w:rFonts w:ascii="Arial" w:hAnsi="Arial" w:cs="Arial"/>
          <w:sz w:val="21"/>
          <w:szCs w:val="21"/>
        </w:rPr>
        <w:t>”</w:t>
      </w:r>
      <w:r w:rsidRPr="00585D22">
        <w:rPr>
          <w:rFonts w:ascii="Arial" w:hAnsi="Arial" w:cs="Arial"/>
          <w:sz w:val="21"/>
          <w:szCs w:val="21"/>
        </w:rPr>
        <w:t>.</w:t>
      </w:r>
    </w:p>
    <w:p w14:paraId="7DA3D0A9" w14:textId="77777777" w:rsidR="002E51B1" w:rsidRPr="00585D22" w:rsidRDefault="002E51B1" w:rsidP="002E51B1">
      <w:pPr>
        <w:jc w:val="both"/>
        <w:rPr>
          <w:rFonts w:ascii="Arial" w:hAnsi="Arial" w:cs="Arial"/>
          <w:sz w:val="21"/>
          <w:szCs w:val="21"/>
        </w:rPr>
      </w:pPr>
    </w:p>
    <w:p w14:paraId="57511772" w14:textId="76536CF1" w:rsidR="00141E57" w:rsidRPr="00585D22" w:rsidRDefault="00141E57" w:rsidP="002E51B1">
      <w:pPr>
        <w:jc w:val="both"/>
        <w:rPr>
          <w:rFonts w:ascii="Arial" w:hAnsi="Arial" w:cs="Arial"/>
          <w:sz w:val="21"/>
          <w:szCs w:val="21"/>
        </w:rPr>
      </w:pPr>
      <w:r w:rsidRPr="00585D22">
        <w:rPr>
          <w:rFonts w:ascii="Arial" w:hAnsi="Arial" w:cs="Arial"/>
          <w:sz w:val="21"/>
          <w:szCs w:val="21"/>
        </w:rPr>
        <w:t>De Nuccio ricorda poi come il</w:t>
      </w:r>
      <w:r w:rsidR="00D91512" w:rsidRPr="00585D22">
        <w:rPr>
          <w:rFonts w:ascii="Arial" w:hAnsi="Arial" w:cs="Arial"/>
          <w:sz w:val="21"/>
          <w:szCs w:val="21"/>
        </w:rPr>
        <w:t xml:space="preserve"> Decreto preved</w:t>
      </w:r>
      <w:r w:rsidRPr="00585D22">
        <w:rPr>
          <w:rFonts w:ascii="Arial" w:hAnsi="Arial" w:cs="Arial"/>
          <w:sz w:val="21"/>
          <w:szCs w:val="21"/>
        </w:rPr>
        <w:t>a anche,</w:t>
      </w:r>
      <w:r w:rsidR="00D91512" w:rsidRPr="00585D22">
        <w:rPr>
          <w:rFonts w:ascii="Arial" w:hAnsi="Arial" w:cs="Arial"/>
          <w:sz w:val="21"/>
          <w:szCs w:val="21"/>
        </w:rPr>
        <w:t xml:space="preserve"> all’articolo 1, comma 5, che per la maggior parte degli interventi con titolo edilizio presentato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prima del 17</w:t>
      </w:r>
      <w:r w:rsidR="00225593" w:rsidRPr="00585D22">
        <w:rPr>
          <w:rFonts w:ascii="Arial" w:hAnsi="Arial" w:cs="Arial"/>
          <w:b/>
          <w:bCs/>
          <w:sz w:val="21"/>
          <w:szCs w:val="21"/>
        </w:rPr>
        <w:t xml:space="preserve"> febbraio 2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023</w:t>
      </w:r>
      <w:r w:rsidR="00D91512" w:rsidRPr="00585D22">
        <w:rPr>
          <w:rFonts w:ascii="Arial" w:hAnsi="Arial" w:cs="Arial"/>
          <w:sz w:val="21"/>
          <w:szCs w:val="21"/>
        </w:rPr>
        <w:t xml:space="preserve"> (data di entrata in vigore del D.L. 11/2023) ovvero per i quali tale titolo non sia necessario, l’ulteriore requisito del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sostenimento delle spese</w:t>
      </w:r>
      <w:r w:rsidR="00D91512" w:rsidRPr="00585D22">
        <w:rPr>
          <w:rFonts w:ascii="Arial" w:hAnsi="Arial" w:cs="Arial"/>
          <w:sz w:val="21"/>
          <w:szCs w:val="21"/>
        </w:rPr>
        <w:t xml:space="preserve">, documentate da fattura, per lavori già effettuati. </w:t>
      </w:r>
      <w:r w:rsidRPr="00585D22">
        <w:rPr>
          <w:rFonts w:ascii="Arial" w:hAnsi="Arial" w:cs="Arial"/>
          <w:sz w:val="21"/>
          <w:szCs w:val="21"/>
        </w:rPr>
        <w:t>“</w:t>
      </w:r>
      <w:r w:rsidR="00D91512" w:rsidRPr="00585D22">
        <w:rPr>
          <w:rFonts w:ascii="Arial" w:hAnsi="Arial" w:cs="Arial"/>
          <w:sz w:val="21"/>
          <w:szCs w:val="21"/>
        </w:rPr>
        <w:t>Tale previsione</w:t>
      </w:r>
      <w:r w:rsidR="00225593" w:rsidRPr="00585D22">
        <w:rPr>
          <w:rFonts w:ascii="Arial" w:hAnsi="Arial" w:cs="Arial"/>
          <w:sz w:val="21"/>
          <w:szCs w:val="21"/>
        </w:rPr>
        <w:t xml:space="preserve"> –</w:t>
      </w:r>
      <w:r w:rsidRPr="00585D22">
        <w:rPr>
          <w:rFonts w:ascii="Arial" w:hAnsi="Arial" w:cs="Arial"/>
          <w:sz w:val="21"/>
          <w:szCs w:val="21"/>
        </w:rPr>
        <w:t xml:space="preserve"> afferma</w:t>
      </w:r>
      <w:r w:rsidR="00225593" w:rsidRPr="00585D22">
        <w:rPr>
          <w:rFonts w:ascii="Arial" w:hAnsi="Arial" w:cs="Arial"/>
          <w:sz w:val="21"/>
          <w:szCs w:val="21"/>
        </w:rPr>
        <w:t xml:space="preserve"> – </w:t>
      </w:r>
      <w:r w:rsidR="00D91512" w:rsidRPr="00585D22">
        <w:rPr>
          <w:rFonts w:ascii="Arial" w:hAnsi="Arial" w:cs="Arial"/>
          <w:sz w:val="21"/>
          <w:szCs w:val="21"/>
        </w:rPr>
        <w:t xml:space="preserve">porta al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paradosso</w:t>
      </w:r>
      <w:r w:rsidR="00D91512" w:rsidRPr="00585D22">
        <w:rPr>
          <w:rFonts w:ascii="Arial" w:hAnsi="Arial" w:cs="Arial"/>
          <w:sz w:val="21"/>
          <w:szCs w:val="21"/>
        </w:rPr>
        <w:t xml:space="preserve"> che </w:t>
      </w:r>
      <w:r w:rsidR="0079120A" w:rsidRPr="00585D22">
        <w:rPr>
          <w:rFonts w:ascii="Arial" w:hAnsi="Arial" w:cs="Arial"/>
          <w:sz w:val="21"/>
          <w:szCs w:val="21"/>
        </w:rPr>
        <w:t xml:space="preserve">cittadini e imprese, </w:t>
      </w:r>
      <w:r w:rsidR="00D91512" w:rsidRPr="00585D22">
        <w:rPr>
          <w:rFonts w:ascii="Arial" w:hAnsi="Arial" w:cs="Arial"/>
          <w:sz w:val="21"/>
          <w:szCs w:val="21"/>
        </w:rPr>
        <w:t>anche</w:t>
      </w:r>
      <w:r w:rsidR="0079120A" w:rsidRPr="00585D22">
        <w:rPr>
          <w:rFonts w:ascii="Arial" w:hAnsi="Arial" w:cs="Arial"/>
          <w:sz w:val="21"/>
          <w:szCs w:val="21"/>
        </w:rPr>
        <w:t xml:space="preserve"> per</w:t>
      </w:r>
      <w:r w:rsidR="00D91512" w:rsidRPr="00585D22">
        <w:rPr>
          <w:rFonts w:ascii="Arial" w:hAnsi="Arial" w:cs="Arial"/>
          <w:sz w:val="21"/>
          <w:szCs w:val="21"/>
        </w:rPr>
        <w:t xml:space="preserve"> interventi già avviati, magari già ultimati, per i quali hanno fatto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legittimo affidamento</w:t>
      </w:r>
      <w:r w:rsidR="00D91512" w:rsidRPr="00585D22">
        <w:rPr>
          <w:rFonts w:ascii="Arial" w:hAnsi="Arial" w:cs="Arial"/>
          <w:sz w:val="21"/>
          <w:szCs w:val="21"/>
        </w:rPr>
        <w:t xml:space="preserve"> sulla possibilità di optare per la cessione del credito o lo sconto in fattura, non potranno accedere a tali opzioni in assenza di spese sostenute (</w:t>
      </w:r>
      <w:r w:rsidRPr="00585D22">
        <w:rPr>
          <w:rFonts w:ascii="Arial" w:hAnsi="Arial" w:cs="Arial"/>
          <w:sz w:val="21"/>
          <w:szCs w:val="21"/>
        </w:rPr>
        <w:t>cioè,</w:t>
      </w:r>
      <w:r w:rsidR="00D91512" w:rsidRPr="00585D22">
        <w:rPr>
          <w:rFonts w:ascii="Arial" w:hAnsi="Arial" w:cs="Arial"/>
          <w:sz w:val="21"/>
          <w:szCs w:val="21"/>
        </w:rPr>
        <w:t xml:space="preserve"> pagate) e documentate da fattura alla data del 29</w:t>
      </w:r>
      <w:r w:rsidR="00225593" w:rsidRPr="00585D22">
        <w:rPr>
          <w:rFonts w:ascii="Arial" w:hAnsi="Arial" w:cs="Arial"/>
          <w:sz w:val="21"/>
          <w:szCs w:val="21"/>
        </w:rPr>
        <w:t xml:space="preserve"> marzo </w:t>
      </w:r>
      <w:r w:rsidR="00D91512" w:rsidRPr="00585D22">
        <w:rPr>
          <w:rFonts w:ascii="Arial" w:hAnsi="Arial" w:cs="Arial"/>
          <w:sz w:val="21"/>
          <w:szCs w:val="21"/>
        </w:rPr>
        <w:t xml:space="preserve">2024. E ulteriormente paradossale appare la situazione nella quale le fatture siano già state emesse a quest’ultima data, ma non siano state ancora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pagate dai beneficiari</w:t>
      </w:r>
      <w:r w:rsidR="00D91512" w:rsidRPr="00585D22">
        <w:rPr>
          <w:rFonts w:ascii="Arial" w:hAnsi="Arial" w:cs="Arial"/>
          <w:sz w:val="21"/>
          <w:szCs w:val="21"/>
        </w:rPr>
        <w:t xml:space="preserve"> delle detrazioni. Anche in tale caso, pur comprendendo le ragioni sottostanti al provvedimento, tese a “bloccare” le operazioni per le quali altro non è stato posto in essere che la presentazione del titolo edilizio, appare necessario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salvaguardare</w:t>
      </w:r>
      <w:r w:rsidR="00D91512" w:rsidRPr="00585D22">
        <w:rPr>
          <w:rFonts w:ascii="Arial" w:hAnsi="Arial" w:cs="Arial"/>
          <w:sz w:val="21"/>
          <w:szCs w:val="21"/>
        </w:rPr>
        <w:t xml:space="preserve"> coloro che gli interventi li hanno effettivamente iniziati o, addirittura, ultimati, e che, per effetto delle novità introdotte dal Decreto, in assenza di pagamenti effettuati per fatture emesse, si vedrebbero esclusi dalla possibilità di accedere alla cessione del credito o allo sconto in fattura con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>conseguenze pesantissime</w:t>
      </w:r>
      <w:r w:rsidR="00D91512" w:rsidRPr="00585D22">
        <w:rPr>
          <w:rFonts w:ascii="Arial" w:hAnsi="Arial" w:cs="Arial"/>
          <w:sz w:val="21"/>
          <w:szCs w:val="21"/>
        </w:rPr>
        <w:t xml:space="preserve">, anche in termini di </w:t>
      </w:r>
      <w:r w:rsidR="00D91512" w:rsidRPr="00585D22">
        <w:rPr>
          <w:rFonts w:ascii="Arial" w:hAnsi="Arial" w:cs="Arial"/>
          <w:b/>
          <w:bCs/>
          <w:sz w:val="21"/>
          <w:szCs w:val="21"/>
        </w:rPr>
        <w:t xml:space="preserve">contenziosi </w:t>
      </w:r>
      <w:r w:rsidR="00D91512" w:rsidRPr="00585D22">
        <w:rPr>
          <w:rFonts w:ascii="Arial" w:hAnsi="Arial" w:cs="Arial"/>
          <w:sz w:val="21"/>
          <w:szCs w:val="21"/>
        </w:rPr>
        <w:t>che potrebbero sorgere con le imprese che hanno eseguito le opere</w:t>
      </w:r>
      <w:r w:rsidRPr="00585D22">
        <w:rPr>
          <w:rFonts w:ascii="Arial" w:hAnsi="Arial" w:cs="Arial"/>
          <w:sz w:val="21"/>
          <w:szCs w:val="21"/>
        </w:rPr>
        <w:t>”</w:t>
      </w:r>
      <w:r w:rsidR="00D91512" w:rsidRPr="00585D22">
        <w:rPr>
          <w:rFonts w:ascii="Arial" w:hAnsi="Arial" w:cs="Arial"/>
          <w:sz w:val="21"/>
          <w:szCs w:val="21"/>
        </w:rPr>
        <w:t>.</w:t>
      </w:r>
    </w:p>
    <w:p w14:paraId="4F299A44" w14:textId="77777777" w:rsidR="002E51B1" w:rsidRPr="00585D22" w:rsidRDefault="002E51B1" w:rsidP="002E51B1">
      <w:pPr>
        <w:jc w:val="both"/>
        <w:rPr>
          <w:rFonts w:ascii="Arial" w:hAnsi="Arial" w:cs="Arial"/>
          <w:sz w:val="21"/>
          <w:szCs w:val="21"/>
        </w:rPr>
      </w:pPr>
    </w:p>
    <w:p w14:paraId="76FC5942" w14:textId="6265E353" w:rsidR="00D91512" w:rsidRPr="00585D22" w:rsidRDefault="00141E57" w:rsidP="002E51B1">
      <w:pPr>
        <w:jc w:val="both"/>
        <w:rPr>
          <w:rFonts w:ascii="Arial" w:hAnsi="Arial" w:cs="Arial"/>
          <w:sz w:val="21"/>
          <w:szCs w:val="21"/>
        </w:rPr>
      </w:pPr>
      <w:r w:rsidRPr="00585D22">
        <w:rPr>
          <w:rFonts w:ascii="Arial" w:hAnsi="Arial" w:cs="Arial"/>
          <w:sz w:val="21"/>
          <w:szCs w:val="21"/>
        </w:rPr>
        <w:t>L’auspicio dei commercialisti è che queste criticità “</w:t>
      </w:r>
      <w:r w:rsidR="00D91512" w:rsidRPr="00585D22">
        <w:rPr>
          <w:rFonts w:ascii="Arial" w:hAnsi="Arial" w:cs="Arial"/>
          <w:sz w:val="21"/>
          <w:szCs w:val="21"/>
        </w:rPr>
        <w:t>possano trovare un’adeguata soluzione</w:t>
      </w:r>
      <w:r w:rsidRPr="00585D22">
        <w:rPr>
          <w:rFonts w:ascii="Arial" w:hAnsi="Arial" w:cs="Arial"/>
          <w:sz w:val="21"/>
          <w:szCs w:val="21"/>
        </w:rPr>
        <w:t xml:space="preserve"> in sede di </w:t>
      </w:r>
      <w:r w:rsidRPr="00585D22">
        <w:rPr>
          <w:rFonts w:ascii="Arial" w:hAnsi="Arial" w:cs="Arial"/>
          <w:b/>
          <w:bCs/>
          <w:sz w:val="21"/>
          <w:szCs w:val="21"/>
        </w:rPr>
        <w:t>conversione</w:t>
      </w:r>
      <w:r w:rsidRPr="00585D22">
        <w:rPr>
          <w:rFonts w:ascii="Arial" w:hAnsi="Arial" w:cs="Arial"/>
          <w:sz w:val="21"/>
          <w:szCs w:val="21"/>
        </w:rPr>
        <w:t xml:space="preserve"> del Decreto Legge”.</w:t>
      </w:r>
    </w:p>
    <w:sectPr w:rsidR="00D91512" w:rsidRPr="00585D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A2EA" w14:textId="77777777" w:rsidR="008A3413" w:rsidRDefault="008A3413" w:rsidP="00A25D50">
      <w:r>
        <w:separator/>
      </w:r>
    </w:p>
  </w:endnote>
  <w:endnote w:type="continuationSeparator" w:id="0">
    <w:p w14:paraId="744DFC97" w14:textId="77777777" w:rsidR="008A3413" w:rsidRDefault="008A3413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E447" w14:textId="77777777" w:rsidR="008A3413" w:rsidRDefault="008A3413" w:rsidP="00A25D50">
      <w:r>
        <w:separator/>
      </w:r>
    </w:p>
  </w:footnote>
  <w:footnote w:type="continuationSeparator" w:id="0">
    <w:p w14:paraId="7D8C8356" w14:textId="77777777" w:rsidR="008A3413" w:rsidRDefault="008A3413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38622">
    <w:abstractNumId w:val="3"/>
  </w:num>
  <w:num w:numId="2" w16cid:durableId="24257403">
    <w:abstractNumId w:val="0"/>
  </w:num>
  <w:num w:numId="3" w16cid:durableId="314065066">
    <w:abstractNumId w:val="1"/>
  </w:num>
  <w:num w:numId="4" w16cid:durableId="118288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31D23"/>
    <w:rsid w:val="00041437"/>
    <w:rsid w:val="00051B2D"/>
    <w:rsid w:val="000555C2"/>
    <w:rsid w:val="00055C12"/>
    <w:rsid w:val="00071CF9"/>
    <w:rsid w:val="00074F9D"/>
    <w:rsid w:val="00080E29"/>
    <w:rsid w:val="0008445A"/>
    <w:rsid w:val="0009108B"/>
    <w:rsid w:val="000A3C95"/>
    <w:rsid w:val="000A3D02"/>
    <w:rsid w:val="000A4F91"/>
    <w:rsid w:val="000A587A"/>
    <w:rsid w:val="000B23B8"/>
    <w:rsid w:val="000C2587"/>
    <w:rsid w:val="000C4581"/>
    <w:rsid w:val="000D1140"/>
    <w:rsid w:val="000D3F12"/>
    <w:rsid w:val="000D46D2"/>
    <w:rsid w:val="000F1CA8"/>
    <w:rsid w:val="000F659E"/>
    <w:rsid w:val="001072C8"/>
    <w:rsid w:val="00111CF5"/>
    <w:rsid w:val="001271ED"/>
    <w:rsid w:val="00127A00"/>
    <w:rsid w:val="00136CF7"/>
    <w:rsid w:val="00141E57"/>
    <w:rsid w:val="001447D0"/>
    <w:rsid w:val="00155682"/>
    <w:rsid w:val="001568B1"/>
    <w:rsid w:val="00164C51"/>
    <w:rsid w:val="00177F55"/>
    <w:rsid w:val="0018410F"/>
    <w:rsid w:val="001A0044"/>
    <w:rsid w:val="001A6EDF"/>
    <w:rsid w:val="001B4763"/>
    <w:rsid w:val="001B61C2"/>
    <w:rsid w:val="001C4CB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25593"/>
    <w:rsid w:val="0023378D"/>
    <w:rsid w:val="002343BF"/>
    <w:rsid w:val="00237EC9"/>
    <w:rsid w:val="0024253C"/>
    <w:rsid w:val="00243892"/>
    <w:rsid w:val="00243F31"/>
    <w:rsid w:val="00255528"/>
    <w:rsid w:val="002566E8"/>
    <w:rsid w:val="002647CB"/>
    <w:rsid w:val="00267E62"/>
    <w:rsid w:val="002726BF"/>
    <w:rsid w:val="00277377"/>
    <w:rsid w:val="0029043A"/>
    <w:rsid w:val="00297E48"/>
    <w:rsid w:val="002A143A"/>
    <w:rsid w:val="002A46B8"/>
    <w:rsid w:val="002A74FE"/>
    <w:rsid w:val="002B1BA3"/>
    <w:rsid w:val="002B687E"/>
    <w:rsid w:val="002B7D2B"/>
    <w:rsid w:val="002E51B1"/>
    <w:rsid w:val="002F0117"/>
    <w:rsid w:val="003002C5"/>
    <w:rsid w:val="003059CF"/>
    <w:rsid w:val="0031113D"/>
    <w:rsid w:val="00333A0F"/>
    <w:rsid w:val="0034189F"/>
    <w:rsid w:val="00347274"/>
    <w:rsid w:val="00356418"/>
    <w:rsid w:val="003606F3"/>
    <w:rsid w:val="00365441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B4930"/>
    <w:rsid w:val="003D6FDB"/>
    <w:rsid w:val="003E3AB2"/>
    <w:rsid w:val="00407826"/>
    <w:rsid w:val="004328C7"/>
    <w:rsid w:val="00445F1F"/>
    <w:rsid w:val="00446E08"/>
    <w:rsid w:val="00463C7D"/>
    <w:rsid w:val="004812F0"/>
    <w:rsid w:val="004B1F06"/>
    <w:rsid w:val="004B7F50"/>
    <w:rsid w:val="004C0C6B"/>
    <w:rsid w:val="004C59E2"/>
    <w:rsid w:val="004E06ED"/>
    <w:rsid w:val="004E34CF"/>
    <w:rsid w:val="004E3EC6"/>
    <w:rsid w:val="004F0506"/>
    <w:rsid w:val="004F6EF6"/>
    <w:rsid w:val="0050036C"/>
    <w:rsid w:val="005030B2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57300"/>
    <w:rsid w:val="00561CB7"/>
    <w:rsid w:val="00564A6A"/>
    <w:rsid w:val="00585D22"/>
    <w:rsid w:val="00595B13"/>
    <w:rsid w:val="005B64A0"/>
    <w:rsid w:val="00610650"/>
    <w:rsid w:val="006150FC"/>
    <w:rsid w:val="00632D1E"/>
    <w:rsid w:val="0063722A"/>
    <w:rsid w:val="00642191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0068D"/>
    <w:rsid w:val="007060FF"/>
    <w:rsid w:val="00713B57"/>
    <w:rsid w:val="0072111E"/>
    <w:rsid w:val="00733833"/>
    <w:rsid w:val="00740E06"/>
    <w:rsid w:val="00740F1F"/>
    <w:rsid w:val="007410F9"/>
    <w:rsid w:val="007451A9"/>
    <w:rsid w:val="007451D3"/>
    <w:rsid w:val="00763CE4"/>
    <w:rsid w:val="00772CD8"/>
    <w:rsid w:val="00777FC6"/>
    <w:rsid w:val="00780F0B"/>
    <w:rsid w:val="007840AA"/>
    <w:rsid w:val="0079120A"/>
    <w:rsid w:val="00797D2C"/>
    <w:rsid w:val="007A2B65"/>
    <w:rsid w:val="007B2325"/>
    <w:rsid w:val="007B6CE4"/>
    <w:rsid w:val="007C2A85"/>
    <w:rsid w:val="007C4086"/>
    <w:rsid w:val="007E29F7"/>
    <w:rsid w:val="007E7258"/>
    <w:rsid w:val="0080228B"/>
    <w:rsid w:val="00803B21"/>
    <w:rsid w:val="008168D0"/>
    <w:rsid w:val="0081779E"/>
    <w:rsid w:val="008273AA"/>
    <w:rsid w:val="00840BF8"/>
    <w:rsid w:val="008417DC"/>
    <w:rsid w:val="0084199B"/>
    <w:rsid w:val="0088021D"/>
    <w:rsid w:val="00883612"/>
    <w:rsid w:val="00895B38"/>
    <w:rsid w:val="00897909"/>
    <w:rsid w:val="008A3413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9F079E"/>
    <w:rsid w:val="009F1FB1"/>
    <w:rsid w:val="00A04E4C"/>
    <w:rsid w:val="00A2361E"/>
    <w:rsid w:val="00A23A10"/>
    <w:rsid w:val="00A24D5A"/>
    <w:rsid w:val="00A25D50"/>
    <w:rsid w:val="00A27454"/>
    <w:rsid w:val="00A36955"/>
    <w:rsid w:val="00A41325"/>
    <w:rsid w:val="00A5333B"/>
    <w:rsid w:val="00A53F29"/>
    <w:rsid w:val="00A547B5"/>
    <w:rsid w:val="00A618D3"/>
    <w:rsid w:val="00A67C3B"/>
    <w:rsid w:val="00A710C1"/>
    <w:rsid w:val="00A74AA6"/>
    <w:rsid w:val="00A854AA"/>
    <w:rsid w:val="00A86F63"/>
    <w:rsid w:val="00AD5603"/>
    <w:rsid w:val="00AE049F"/>
    <w:rsid w:val="00AE0BB1"/>
    <w:rsid w:val="00AE2574"/>
    <w:rsid w:val="00AE2F64"/>
    <w:rsid w:val="00AE2FF1"/>
    <w:rsid w:val="00AF2AB2"/>
    <w:rsid w:val="00B154FD"/>
    <w:rsid w:val="00B2654F"/>
    <w:rsid w:val="00B278C1"/>
    <w:rsid w:val="00B27A28"/>
    <w:rsid w:val="00B4713B"/>
    <w:rsid w:val="00B56245"/>
    <w:rsid w:val="00B623C7"/>
    <w:rsid w:val="00B71213"/>
    <w:rsid w:val="00B93E34"/>
    <w:rsid w:val="00BA19DE"/>
    <w:rsid w:val="00BB10A6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20F8"/>
    <w:rsid w:val="00C967DD"/>
    <w:rsid w:val="00C974AB"/>
    <w:rsid w:val="00CA01E7"/>
    <w:rsid w:val="00CA4472"/>
    <w:rsid w:val="00CC6E36"/>
    <w:rsid w:val="00CE3D91"/>
    <w:rsid w:val="00CE5211"/>
    <w:rsid w:val="00CF5627"/>
    <w:rsid w:val="00D14B74"/>
    <w:rsid w:val="00D17160"/>
    <w:rsid w:val="00D31EDC"/>
    <w:rsid w:val="00D626C3"/>
    <w:rsid w:val="00D66F96"/>
    <w:rsid w:val="00D742E0"/>
    <w:rsid w:val="00D8383C"/>
    <w:rsid w:val="00D86F1A"/>
    <w:rsid w:val="00D91512"/>
    <w:rsid w:val="00DA0ED2"/>
    <w:rsid w:val="00DA12CE"/>
    <w:rsid w:val="00DB0771"/>
    <w:rsid w:val="00DC6813"/>
    <w:rsid w:val="00DD2A3D"/>
    <w:rsid w:val="00DE7244"/>
    <w:rsid w:val="00E11ECB"/>
    <w:rsid w:val="00E4100D"/>
    <w:rsid w:val="00E617AE"/>
    <w:rsid w:val="00E66D6B"/>
    <w:rsid w:val="00E80398"/>
    <w:rsid w:val="00E81144"/>
    <w:rsid w:val="00E93EB9"/>
    <w:rsid w:val="00EB37DA"/>
    <w:rsid w:val="00EC1A2D"/>
    <w:rsid w:val="00ED55FF"/>
    <w:rsid w:val="00EE2F69"/>
    <w:rsid w:val="00EE5E61"/>
    <w:rsid w:val="00F011E8"/>
    <w:rsid w:val="00F06907"/>
    <w:rsid w:val="00F21C61"/>
    <w:rsid w:val="00F22B6C"/>
    <w:rsid w:val="00F31C26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6832"/>
    <w:rsid w:val="00FC23F6"/>
    <w:rsid w:val="00FD20C3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AC4B175F-F52F-4530-9367-4F967A2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Mastrogiacomo Tiziana</dc:creator>
  <cp:lastModifiedBy>Mastrogiacomo Tiziana</cp:lastModifiedBy>
  <cp:revision>13</cp:revision>
  <cp:lastPrinted>2023-12-13T11:29:00Z</cp:lastPrinted>
  <dcterms:created xsi:type="dcterms:W3CDTF">2024-04-02T12:27:00Z</dcterms:created>
  <dcterms:modified xsi:type="dcterms:W3CDTF">2024-04-04T07:45:00Z</dcterms:modified>
</cp:coreProperties>
</file>