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66D7" w14:textId="37DD0C06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D0E7D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36232011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C8FE88" w14:textId="7C91F680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7D">
        <w:rPr>
          <w:rFonts w:ascii="Arial" w:hAnsi="Arial" w:cs="Arial"/>
          <w:b/>
          <w:bCs/>
          <w:sz w:val="24"/>
          <w:szCs w:val="24"/>
        </w:rPr>
        <w:t>RIFORMA FISCALE: COMMERCIALISTI, TESTO CAMERE BUONA BASE DI PARTENZA</w:t>
      </w:r>
    </w:p>
    <w:p w14:paraId="06AA93E6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D95244" w14:textId="58F89AB9" w:rsidR="005D2E2E" w:rsidRPr="006D0E7D" w:rsidRDefault="005D2E2E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7D">
        <w:rPr>
          <w:rFonts w:ascii="Arial" w:hAnsi="Arial" w:cs="Arial"/>
          <w:b/>
          <w:bCs/>
          <w:sz w:val="24"/>
          <w:szCs w:val="24"/>
        </w:rPr>
        <w:t>Miani: “Tanti i punti coincidenti con il nostro Manifesto. Ora non si perda un’occasione storica per il Paese”</w:t>
      </w:r>
    </w:p>
    <w:p w14:paraId="54547F93" w14:textId="77777777" w:rsidR="006D0E7D" w:rsidRPr="006D0E7D" w:rsidRDefault="006D0E7D" w:rsidP="006D0E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44E704" w14:textId="77777777" w:rsidR="006D0E7D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7D">
        <w:rPr>
          <w:rFonts w:ascii="Arial" w:hAnsi="Arial" w:cs="Arial"/>
          <w:i/>
          <w:iCs/>
          <w:sz w:val="24"/>
          <w:szCs w:val="24"/>
        </w:rPr>
        <w:t xml:space="preserve">Roma, </w:t>
      </w:r>
      <w:proofErr w:type="gramStart"/>
      <w:r w:rsidRPr="006D0E7D">
        <w:rPr>
          <w:rFonts w:ascii="Arial" w:hAnsi="Arial" w:cs="Arial"/>
          <w:i/>
          <w:iCs/>
          <w:sz w:val="24"/>
          <w:szCs w:val="24"/>
        </w:rPr>
        <w:t>1 luglio</w:t>
      </w:r>
      <w:proofErr w:type="gramEnd"/>
      <w:r w:rsidRPr="006D0E7D">
        <w:rPr>
          <w:rFonts w:ascii="Arial" w:hAnsi="Arial" w:cs="Arial"/>
          <w:i/>
          <w:iCs/>
          <w:sz w:val="24"/>
          <w:szCs w:val="24"/>
        </w:rPr>
        <w:t xml:space="preserve"> 2021</w:t>
      </w:r>
      <w:r w:rsidRPr="006D0E7D">
        <w:rPr>
          <w:rFonts w:ascii="Arial" w:hAnsi="Arial" w:cs="Arial"/>
          <w:sz w:val="24"/>
          <w:szCs w:val="24"/>
        </w:rPr>
        <w:t xml:space="preserve"> – “</w:t>
      </w:r>
      <w:r w:rsidR="00C66CD4" w:rsidRPr="006D0E7D">
        <w:rPr>
          <w:rFonts w:ascii="Arial" w:hAnsi="Arial" w:cs="Arial"/>
          <w:sz w:val="24"/>
          <w:szCs w:val="24"/>
        </w:rPr>
        <w:t xml:space="preserve">Il documento conclusivo </w:t>
      </w:r>
      <w:r w:rsidRPr="006D0E7D">
        <w:rPr>
          <w:rFonts w:ascii="Arial" w:hAnsi="Arial" w:cs="Arial"/>
          <w:sz w:val="24"/>
          <w:szCs w:val="24"/>
        </w:rPr>
        <w:t>approvat</w:t>
      </w:r>
      <w:r w:rsidR="00C66CD4" w:rsidRPr="006D0E7D">
        <w:rPr>
          <w:rFonts w:ascii="Arial" w:hAnsi="Arial" w:cs="Arial"/>
          <w:sz w:val="24"/>
          <w:szCs w:val="24"/>
        </w:rPr>
        <w:t>o</w:t>
      </w:r>
      <w:r w:rsidRPr="006D0E7D">
        <w:rPr>
          <w:rFonts w:ascii="Arial" w:hAnsi="Arial" w:cs="Arial"/>
          <w:sz w:val="24"/>
          <w:szCs w:val="24"/>
        </w:rPr>
        <w:t xml:space="preserve"> ieri dall</w:t>
      </w:r>
      <w:r w:rsidR="006D0E7D" w:rsidRPr="006D0E7D">
        <w:rPr>
          <w:rFonts w:ascii="Arial" w:hAnsi="Arial" w:cs="Arial"/>
          <w:sz w:val="24"/>
          <w:szCs w:val="24"/>
        </w:rPr>
        <w:t>e</w:t>
      </w:r>
      <w:r w:rsidRPr="006D0E7D">
        <w:rPr>
          <w:rFonts w:ascii="Arial" w:hAnsi="Arial" w:cs="Arial"/>
          <w:sz w:val="24"/>
          <w:szCs w:val="24"/>
        </w:rPr>
        <w:t xml:space="preserve"> Commissioni </w:t>
      </w:r>
      <w:r w:rsidR="006D0E7D" w:rsidRPr="006D0E7D">
        <w:rPr>
          <w:rFonts w:ascii="Arial" w:hAnsi="Arial" w:cs="Arial"/>
          <w:sz w:val="24"/>
          <w:szCs w:val="24"/>
        </w:rPr>
        <w:t>F</w:t>
      </w:r>
      <w:r w:rsidRPr="006D0E7D">
        <w:rPr>
          <w:rFonts w:ascii="Arial" w:hAnsi="Arial" w:cs="Arial"/>
          <w:sz w:val="24"/>
          <w:szCs w:val="24"/>
        </w:rPr>
        <w:t xml:space="preserve">inanze di Camera e Senato </w:t>
      </w:r>
      <w:r w:rsidR="00C66CD4" w:rsidRPr="006D0E7D">
        <w:rPr>
          <w:rFonts w:ascii="Arial" w:hAnsi="Arial" w:cs="Arial"/>
          <w:sz w:val="24"/>
          <w:szCs w:val="24"/>
        </w:rPr>
        <w:t xml:space="preserve">al termine dell’indagine conoscitiva sulla riforma fiscale </w:t>
      </w:r>
      <w:r w:rsidRPr="006D0E7D">
        <w:rPr>
          <w:rFonts w:ascii="Arial" w:hAnsi="Arial" w:cs="Arial"/>
          <w:sz w:val="24"/>
          <w:szCs w:val="24"/>
        </w:rPr>
        <w:t xml:space="preserve">è sicuramente una </w:t>
      </w:r>
      <w:r w:rsidRPr="006D0E7D">
        <w:rPr>
          <w:rFonts w:ascii="Arial" w:hAnsi="Arial" w:cs="Arial"/>
          <w:b/>
          <w:bCs/>
          <w:sz w:val="24"/>
          <w:szCs w:val="24"/>
        </w:rPr>
        <w:t>buona base di partenza</w:t>
      </w:r>
      <w:r w:rsidRPr="006D0E7D">
        <w:rPr>
          <w:rFonts w:ascii="Arial" w:hAnsi="Arial" w:cs="Arial"/>
          <w:sz w:val="24"/>
          <w:szCs w:val="24"/>
        </w:rPr>
        <w:t xml:space="preserve"> per il lavoro che attende nelle prossime settimane il Governo, il Parlamento e la Commissione tecnica di nomina governativa”. E’ quanto afferma il presidente del Consiglio nazionale dei commercialisti, </w:t>
      </w:r>
      <w:r w:rsidRPr="006D0E7D">
        <w:rPr>
          <w:rFonts w:ascii="Arial" w:hAnsi="Arial" w:cs="Arial"/>
          <w:b/>
          <w:bCs/>
          <w:sz w:val="24"/>
          <w:szCs w:val="24"/>
        </w:rPr>
        <w:t>Massimo Miani</w:t>
      </w:r>
      <w:r w:rsidRPr="006D0E7D">
        <w:rPr>
          <w:rFonts w:ascii="Arial" w:hAnsi="Arial" w:cs="Arial"/>
          <w:sz w:val="24"/>
          <w:szCs w:val="24"/>
        </w:rPr>
        <w:t>, il quale sottolinea come “</w:t>
      </w:r>
      <w:r w:rsidR="00C66CD4" w:rsidRPr="006D0E7D">
        <w:rPr>
          <w:rFonts w:ascii="Arial" w:hAnsi="Arial" w:cs="Arial"/>
          <w:sz w:val="24"/>
          <w:szCs w:val="24"/>
        </w:rPr>
        <w:t xml:space="preserve">le linee guida </w:t>
      </w:r>
      <w:r w:rsidRPr="006D0E7D">
        <w:rPr>
          <w:rFonts w:ascii="Arial" w:hAnsi="Arial" w:cs="Arial"/>
          <w:sz w:val="24"/>
          <w:szCs w:val="24"/>
        </w:rPr>
        <w:t>fissat</w:t>
      </w:r>
      <w:r w:rsidR="00C66CD4" w:rsidRPr="006D0E7D">
        <w:rPr>
          <w:rFonts w:ascii="Arial" w:hAnsi="Arial" w:cs="Arial"/>
          <w:sz w:val="24"/>
          <w:szCs w:val="24"/>
        </w:rPr>
        <w:t>e</w:t>
      </w:r>
      <w:r w:rsidRPr="006D0E7D">
        <w:rPr>
          <w:rFonts w:ascii="Arial" w:hAnsi="Arial" w:cs="Arial"/>
          <w:sz w:val="24"/>
          <w:szCs w:val="24"/>
        </w:rPr>
        <w:t xml:space="preserve"> dal testo appena approvato </w:t>
      </w:r>
      <w:r w:rsidRPr="006D0E7D">
        <w:rPr>
          <w:rFonts w:ascii="Arial" w:hAnsi="Arial" w:cs="Arial"/>
          <w:b/>
          <w:bCs/>
          <w:sz w:val="24"/>
          <w:szCs w:val="24"/>
        </w:rPr>
        <w:t>coincidano in gran parte</w:t>
      </w:r>
      <w:r w:rsidRPr="006D0E7D">
        <w:rPr>
          <w:rFonts w:ascii="Arial" w:hAnsi="Arial" w:cs="Arial"/>
          <w:sz w:val="24"/>
          <w:szCs w:val="24"/>
        </w:rPr>
        <w:t xml:space="preserve"> con le priorità che avevamo indicato nei giorni scorsi nel nostro </w:t>
      </w:r>
      <w:r w:rsidRPr="006D0E7D">
        <w:rPr>
          <w:rFonts w:ascii="Arial" w:hAnsi="Arial" w:cs="Arial"/>
          <w:b/>
          <w:bCs/>
          <w:sz w:val="24"/>
          <w:szCs w:val="24"/>
        </w:rPr>
        <w:t>Manifesto per la riforma fiscale</w:t>
      </w:r>
      <w:r w:rsidRPr="006D0E7D">
        <w:rPr>
          <w:rFonts w:ascii="Arial" w:hAnsi="Arial" w:cs="Arial"/>
          <w:sz w:val="24"/>
          <w:szCs w:val="24"/>
        </w:rPr>
        <w:t>, tra le quali figurano la richiesta dell’abrogazione dell’</w:t>
      </w:r>
      <w:r w:rsidRPr="006D0E7D">
        <w:rPr>
          <w:rFonts w:ascii="Arial" w:hAnsi="Arial" w:cs="Arial"/>
          <w:b/>
          <w:bCs/>
          <w:sz w:val="24"/>
          <w:szCs w:val="24"/>
        </w:rPr>
        <w:t>Irap</w:t>
      </w:r>
      <w:r w:rsidRPr="006D0E7D">
        <w:rPr>
          <w:rFonts w:ascii="Arial" w:hAnsi="Arial" w:cs="Arial"/>
          <w:sz w:val="24"/>
          <w:szCs w:val="24"/>
        </w:rPr>
        <w:t>, il ripristino dell’equità orizzontale e verticale dell’</w:t>
      </w:r>
      <w:r w:rsidRPr="006D0E7D">
        <w:rPr>
          <w:rFonts w:ascii="Arial" w:hAnsi="Arial" w:cs="Arial"/>
          <w:b/>
          <w:bCs/>
          <w:sz w:val="24"/>
          <w:szCs w:val="24"/>
        </w:rPr>
        <w:t>Irpef</w:t>
      </w:r>
      <w:r w:rsidRPr="006D0E7D">
        <w:rPr>
          <w:rFonts w:ascii="Arial" w:hAnsi="Arial" w:cs="Arial"/>
          <w:sz w:val="24"/>
          <w:szCs w:val="24"/>
        </w:rPr>
        <w:t xml:space="preserve">, </w:t>
      </w:r>
      <w:r w:rsidR="00881EAE" w:rsidRPr="006D0E7D">
        <w:rPr>
          <w:rFonts w:ascii="Arial" w:hAnsi="Arial" w:cs="Arial"/>
          <w:sz w:val="24"/>
          <w:szCs w:val="24"/>
        </w:rPr>
        <w:t>l’</w:t>
      </w:r>
      <w:r w:rsidR="00881EAE" w:rsidRPr="006D0E7D">
        <w:rPr>
          <w:rFonts w:ascii="Arial" w:hAnsi="Arial" w:cs="Arial"/>
          <w:b/>
          <w:sz w:val="24"/>
          <w:szCs w:val="24"/>
        </w:rPr>
        <w:t>avvicinamento tra bilancio civilistico e fiscale</w:t>
      </w:r>
      <w:r w:rsidR="00881EAE" w:rsidRPr="006D0E7D">
        <w:rPr>
          <w:rFonts w:ascii="Arial" w:hAnsi="Arial" w:cs="Arial"/>
          <w:sz w:val="24"/>
          <w:szCs w:val="24"/>
        </w:rPr>
        <w:t xml:space="preserve">, </w:t>
      </w:r>
      <w:r w:rsidR="00A80209" w:rsidRPr="006D0E7D">
        <w:rPr>
          <w:rFonts w:ascii="Arial" w:hAnsi="Arial" w:cs="Arial"/>
          <w:sz w:val="24"/>
          <w:szCs w:val="24"/>
        </w:rPr>
        <w:t xml:space="preserve">ed ancora </w:t>
      </w:r>
      <w:r w:rsidRPr="006D0E7D">
        <w:rPr>
          <w:rFonts w:ascii="Arial" w:hAnsi="Arial" w:cs="Arial"/>
          <w:sz w:val="24"/>
          <w:szCs w:val="24"/>
        </w:rPr>
        <w:t xml:space="preserve">una </w:t>
      </w:r>
      <w:r w:rsidRPr="006D0E7D">
        <w:rPr>
          <w:rFonts w:ascii="Arial" w:hAnsi="Arial" w:cs="Arial"/>
          <w:b/>
          <w:bCs/>
          <w:sz w:val="24"/>
          <w:szCs w:val="24"/>
        </w:rPr>
        <w:t>riscossione</w:t>
      </w:r>
      <w:r w:rsidRPr="006D0E7D">
        <w:rPr>
          <w:rFonts w:ascii="Arial" w:hAnsi="Arial" w:cs="Arial"/>
          <w:sz w:val="24"/>
          <w:szCs w:val="24"/>
        </w:rPr>
        <w:t xml:space="preserve"> più efficiente e meno costosa, </w:t>
      </w:r>
      <w:r w:rsidR="00C66CD4" w:rsidRPr="006D0E7D">
        <w:rPr>
          <w:rFonts w:ascii="Arial" w:hAnsi="Arial" w:cs="Arial"/>
          <w:sz w:val="24"/>
          <w:szCs w:val="24"/>
        </w:rPr>
        <w:t xml:space="preserve">la </w:t>
      </w:r>
      <w:r w:rsidR="00881EAE" w:rsidRPr="006D0E7D">
        <w:rPr>
          <w:rFonts w:ascii="Arial" w:hAnsi="Arial" w:cs="Arial"/>
          <w:b/>
          <w:sz w:val="24"/>
          <w:szCs w:val="24"/>
        </w:rPr>
        <w:t>codificazione tributaria</w:t>
      </w:r>
      <w:r w:rsidR="00881EAE" w:rsidRPr="006D0E7D">
        <w:rPr>
          <w:rFonts w:ascii="Arial" w:hAnsi="Arial" w:cs="Arial"/>
          <w:sz w:val="24"/>
          <w:szCs w:val="24"/>
        </w:rPr>
        <w:t xml:space="preserve"> </w:t>
      </w:r>
      <w:r w:rsidR="00C66CD4" w:rsidRPr="006D0E7D">
        <w:rPr>
          <w:rFonts w:ascii="Arial" w:hAnsi="Arial" w:cs="Arial"/>
          <w:sz w:val="24"/>
          <w:szCs w:val="24"/>
        </w:rPr>
        <w:t>e l</w:t>
      </w:r>
      <w:r w:rsidR="008D3734" w:rsidRPr="006D0E7D">
        <w:rPr>
          <w:rFonts w:ascii="Arial" w:hAnsi="Arial" w:cs="Arial"/>
          <w:sz w:val="24"/>
          <w:szCs w:val="24"/>
        </w:rPr>
        <w:t>’</w:t>
      </w:r>
      <w:r w:rsidR="008D3734" w:rsidRPr="006D0E7D">
        <w:rPr>
          <w:rFonts w:ascii="Arial" w:hAnsi="Arial" w:cs="Arial"/>
          <w:b/>
          <w:sz w:val="24"/>
          <w:szCs w:val="24"/>
        </w:rPr>
        <w:t xml:space="preserve">elevazione </w:t>
      </w:r>
      <w:r w:rsidR="00C66CD4" w:rsidRPr="006D0E7D">
        <w:rPr>
          <w:rFonts w:ascii="Arial" w:hAnsi="Arial" w:cs="Arial"/>
          <w:b/>
          <w:sz w:val="24"/>
          <w:szCs w:val="24"/>
        </w:rPr>
        <w:t>a</w:t>
      </w:r>
      <w:r w:rsidR="008D3734" w:rsidRPr="006D0E7D">
        <w:rPr>
          <w:rFonts w:ascii="Arial" w:hAnsi="Arial" w:cs="Arial"/>
          <w:b/>
          <w:sz w:val="24"/>
          <w:szCs w:val="24"/>
        </w:rPr>
        <w:t>l</w:t>
      </w:r>
      <w:r w:rsidR="00C66CD4" w:rsidRPr="006D0E7D">
        <w:rPr>
          <w:rFonts w:ascii="Arial" w:hAnsi="Arial" w:cs="Arial"/>
          <w:b/>
          <w:sz w:val="24"/>
          <w:szCs w:val="24"/>
        </w:rPr>
        <w:t xml:space="preserve"> </w:t>
      </w:r>
      <w:r w:rsidR="008D3734" w:rsidRPr="006D0E7D">
        <w:rPr>
          <w:rFonts w:ascii="Arial" w:hAnsi="Arial" w:cs="Arial"/>
          <w:b/>
          <w:sz w:val="24"/>
          <w:szCs w:val="24"/>
        </w:rPr>
        <w:t>rango costituzional</w:t>
      </w:r>
      <w:r w:rsidR="00C66CD4" w:rsidRPr="006D0E7D">
        <w:rPr>
          <w:rFonts w:ascii="Arial" w:hAnsi="Arial" w:cs="Arial"/>
          <w:b/>
          <w:sz w:val="24"/>
          <w:szCs w:val="24"/>
        </w:rPr>
        <w:t>e</w:t>
      </w:r>
      <w:r w:rsidR="00C66CD4" w:rsidRPr="006D0E7D">
        <w:rPr>
          <w:rFonts w:ascii="Arial" w:hAnsi="Arial" w:cs="Arial"/>
          <w:sz w:val="24"/>
          <w:szCs w:val="24"/>
        </w:rPr>
        <w:t xml:space="preserve"> dei principi fondamentali </w:t>
      </w:r>
      <w:r w:rsidR="00C66CD4" w:rsidRPr="006D0E7D">
        <w:rPr>
          <w:rFonts w:ascii="Arial" w:hAnsi="Arial" w:cs="Arial"/>
          <w:b/>
          <w:sz w:val="24"/>
          <w:szCs w:val="24"/>
        </w:rPr>
        <w:t>dello Statuto</w:t>
      </w:r>
      <w:r w:rsidR="00C66CD4" w:rsidRPr="006D0E7D">
        <w:rPr>
          <w:rFonts w:ascii="Arial" w:hAnsi="Arial" w:cs="Arial"/>
          <w:sz w:val="24"/>
          <w:szCs w:val="24"/>
        </w:rPr>
        <w:t xml:space="preserve"> del </w:t>
      </w:r>
      <w:r w:rsidR="008D3734" w:rsidRPr="006D0E7D">
        <w:rPr>
          <w:rFonts w:ascii="Arial" w:hAnsi="Arial" w:cs="Arial"/>
          <w:sz w:val="24"/>
          <w:szCs w:val="24"/>
        </w:rPr>
        <w:t>c</w:t>
      </w:r>
      <w:r w:rsidR="00C66CD4" w:rsidRPr="006D0E7D">
        <w:rPr>
          <w:rFonts w:ascii="Arial" w:hAnsi="Arial" w:cs="Arial"/>
          <w:sz w:val="24"/>
          <w:szCs w:val="24"/>
        </w:rPr>
        <w:t>ontribuente</w:t>
      </w:r>
      <w:r w:rsidR="008D3734" w:rsidRPr="006D0E7D">
        <w:rPr>
          <w:rFonts w:ascii="Arial" w:hAnsi="Arial" w:cs="Arial"/>
          <w:sz w:val="24"/>
          <w:szCs w:val="24"/>
        </w:rPr>
        <w:t>,</w:t>
      </w:r>
      <w:r w:rsidR="00C66CD4" w:rsidRPr="006D0E7D">
        <w:rPr>
          <w:rFonts w:ascii="Arial" w:hAnsi="Arial" w:cs="Arial"/>
          <w:sz w:val="24"/>
          <w:szCs w:val="24"/>
        </w:rPr>
        <w:t xml:space="preserve"> </w:t>
      </w:r>
      <w:r w:rsidRPr="006D0E7D">
        <w:rPr>
          <w:rFonts w:ascii="Arial" w:hAnsi="Arial" w:cs="Arial"/>
          <w:sz w:val="24"/>
          <w:szCs w:val="24"/>
        </w:rPr>
        <w:t xml:space="preserve">un </w:t>
      </w:r>
      <w:r w:rsidRPr="006D0E7D">
        <w:rPr>
          <w:rFonts w:ascii="Arial" w:hAnsi="Arial" w:cs="Arial"/>
          <w:b/>
          <w:bCs/>
          <w:sz w:val="24"/>
          <w:szCs w:val="24"/>
        </w:rPr>
        <w:t>rapporto fisco-contribuenti</w:t>
      </w:r>
      <w:r w:rsidRPr="006D0E7D">
        <w:rPr>
          <w:rFonts w:ascii="Arial" w:hAnsi="Arial" w:cs="Arial"/>
          <w:sz w:val="24"/>
          <w:szCs w:val="24"/>
        </w:rPr>
        <w:t xml:space="preserve"> più equilibrato </w:t>
      </w:r>
      <w:r w:rsidR="008D3734" w:rsidRPr="006D0E7D">
        <w:rPr>
          <w:rFonts w:ascii="Arial" w:hAnsi="Arial" w:cs="Arial"/>
          <w:sz w:val="24"/>
          <w:szCs w:val="24"/>
        </w:rPr>
        <w:t xml:space="preserve">e un </w:t>
      </w:r>
      <w:r w:rsidR="008D3734" w:rsidRPr="006D0E7D">
        <w:rPr>
          <w:rFonts w:ascii="Arial" w:hAnsi="Arial" w:cs="Arial"/>
          <w:b/>
          <w:sz w:val="24"/>
          <w:szCs w:val="24"/>
        </w:rPr>
        <w:t>sistema sanzionatorio più proporzionale</w:t>
      </w:r>
      <w:r w:rsidRPr="006D0E7D">
        <w:rPr>
          <w:rFonts w:ascii="Arial" w:hAnsi="Arial" w:cs="Arial"/>
          <w:sz w:val="24"/>
          <w:szCs w:val="24"/>
        </w:rPr>
        <w:t xml:space="preserve">”. </w:t>
      </w:r>
    </w:p>
    <w:p w14:paraId="75DAA3AD" w14:textId="77777777" w:rsidR="006D0E7D" w:rsidRPr="006D0E7D" w:rsidRDefault="006D0E7D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9230E4" w14:textId="4BFADF94" w:rsidR="005D2E2E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7D">
        <w:rPr>
          <w:rFonts w:ascii="Arial" w:hAnsi="Arial" w:cs="Arial"/>
          <w:sz w:val="24"/>
          <w:szCs w:val="24"/>
        </w:rPr>
        <w:t>“</w:t>
      </w:r>
      <w:r w:rsidR="006D0E7D" w:rsidRPr="006D0E7D">
        <w:rPr>
          <w:rFonts w:ascii="Arial" w:hAnsi="Arial" w:cs="Arial"/>
          <w:sz w:val="24"/>
          <w:szCs w:val="24"/>
        </w:rPr>
        <w:t xml:space="preserve">È </w:t>
      </w:r>
      <w:r w:rsidRPr="006D0E7D">
        <w:rPr>
          <w:rFonts w:ascii="Arial" w:hAnsi="Arial" w:cs="Arial"/>
          <w:sz w:val="24"/>
          <w:szCs w:val="24"/>
        </w:rPr>
        <w:t>evidente</w:t>
      </w:r>
      <w:r w:rsidR="000C1CCB" w:rsidRPr="006D0E7D">
        <w:rPr>
          <w:rFonts w:ascii="Arial" w:hAnsi="Arial" w:cs="Arial"/>
          <w:sz w:val="24"/>
          <w:szCs w:val="24"/>
        </w:rPr>
        <w:t xml:space="preserve"> </w:t>
      </w:r>
      <w:r w:rsidRPr="006D0E7D">
        <w:rPr>
          <w:rFonts w:ascii="Arial" w:hAnsi="Arial" w:cs="Arial"/>
          <w:sz w:val="24"/>
          <w:szCs w:val="24"/>
        </w:rPr>
        <w:t xml:space="preserve">– prosegue Miani – che siamo di fronte ad una </w:t>
      </w:r>
      <w:r w:rsidRPr="006D0E7D">
        <w:rPr>
          <w:rFonts w:ascii="Arial" w:hAnsi="Arial" w:cs="Arial"/>
          <w:b/>
          <w:bCs/>
          <w:sz w:val="24"/>
          <w:szCs w:val="24"/>
        </w:rPr>
        <w:t>sfida impegnativa</w:t>
      </w:r>
      <w:r w:rsidRPr="006D0E7D">
        <w:rPr>
          <w:rFonts w:ascii="Arial" w:hAnsi="Arial" w:cs="Arial"/>
          <w:sz w:val="24"/>
          <w:szCs w:val="24"/>
        </w:rPr>
        <w:t xml:space="preserve"> che imporrà a tutti la </w:t>
      </w:r>
      <w:r w:rsidRPr="006D0E7D">
        <w:rPr>
          <w:rFonts w:ascii="Arial" w:hAnsi="Arial" w:cs="Arial"/>
          <w:b/>
          <w:bCs/>
          <w:sz w:val="24"/>
          <w:szCs w:val="24"/>
        </w:rPr>
        <w:t>ricerca ostinata</w:t>
      </w:r>
      <w:r w:rsidRPr="006D0E7D">
        <w:rPr>
          <w:rFonts w:ascii="Arial" w:hAnsi="Arial" w:cs="Arial"/>
          <w:sz w:val="24"/>
          <w:szCs w:val="24"/>
        </w:rPr>
        <w:t xml:space="preserve"> di un punto di equilibrio tra posizioni anche molto diverse. Ma siamo convinti che l’opportunità di giungere dopo decenni ad una </w:t>
      </w:r>
      <w:r w:rsidRPr="006D0E7D">
        <w:rPr>
          <w:rFonts w:ascii="Arial" w:hAnsi="Arial" w:cs="Arial"/>
          <w:b/>
          <w:bCs/>
          <w:sz w:val="24"/>
          <w:szCs w:val="24"/>
        </w:rPr>
        <w:t>riforma organica</w:t>
      </w:r>
      <w:r w:rsidRPr="006D0E7D">
        <w:rPr>
          <w:rFonts w:ascii="Arial" w:hAnsi="Arial" w:cs="Arial"/>
          <w:sz w:val="24"/>
          <w:szCs w:val="24"/>
        </w:rPr>
        <w:t xml:space="preserve"> del nostro sistema fiscale </w:t>
      </w:r>
      <w:r w:rsidRPr="006D0E7D">
        <w:rPr>
          <w:rFonts w:ascii="Arial" w:hAnsi="Arial" w:cs="Arial"/>
          <w:b/>
          <w:bCs/>
          <w:sz w:val="24"/>
          <w:szCs w:val="24"/>
        </w:rPr>
        <w:t>non vada assolutamente sprecata</w:t>
      </w:r>
      <w:r w:rsidRPr="006D0E7D">
        <w:rPr>
          <w:rFonts w:ascii="Arial" w:hAnsi="Arial" w:cs="Arial"/>
          <w:sz w:val="24"/>
          <w:szCs w:val="24"/>
        </w:rPr>
        <w:t xml:space="preserve">. La categoria è pronta a fornire il suo </w:t>
      </w:r>
      <w:r w:rsidRPr="006D0E7D">
        <w:rPr>
          <w:rFonts w:ascii="Arial" w:hAnsi="Arial" w:cs="Arial"/>
          <w:b/>
          <w:bCs/>
          <w:sz w:val="24"/>
          <w:szCs w:val="24"/>
        </w:rPr>
        <w:t>contributo di idee e proposte</w:t>
      </w:r>
      <w:r w:rsidRPr="006D0E7D">
        <w:rPr>
          <w:rFonts w:ascii="Arial" w:hAnsi="Arial" w:cs="Arial"/>
          <w:sz w:val="24"/>
          <w:szCs w:val="24"/>
        </w:rPr>
        <w:t xml:space="preserve"> e auspica un </w:t>
      </w:r>
      <w:r w:rsidRPr="006D0E7D">
        <w:rPr>
          <w:rFonts w:ascii="Arial" w:hAnsi="Arial" w:cs="Arial"/>
          <w:b/>
          <w:bCs/>
          <w:sz w:val="24"/>
          <w:szCs w:val="24"/>
        </w:rPr>
        <w:t>coinvolgimento diretto</w:t>
      </w:r>
      <w:r w:rsidRPr="006D0E7D">
        <w:rPr>
          <w:rFonts w:ascii="Arial" w:hAnsi="Arial" w:cs="Arial"/>
          <w:sz w:val="24"/>
          <w:szCs w:val="24"/>
        </w:rPr>
        <w:t xml:space="preserve"> in questo percorso”.</w:t>
      </w:r>
    </w:p>
    <w:p w14:paraId="72601F35" w14:textId="77777777" w:rsidR="006D0E7D" w:rsidRPr="006D0E7D" w:rsidRDefault="006D0E7D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A8AB3" w14:textId="18597406" w:rsidR="005D2E2E" w:rsidRPr="006D0E7D" w:rsidRDefault="005D2E2E" w:rsidP="006D0E7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0E7D">
        <w:rPr>
          <w:rFonts w:ascii="Arial" w:hAnsi="Arial" w:cs="Arial"/>
          <w:sz w:val="24"/>
          <w:szCs w:val="24"/>
        </w:rPr>
        <w:t xml:space="preserve">Nel quadro di un giudizio complessivamente positivo, Miani esprime “il </w:t>
      </w:r>
      <w:r w:rsidRPr="006D0E7D">
        <w:rPr>
          <w:rFonts w:ascii="Arial" w:hAnsi="Arial" w:cs="Arial"/>
          <w:b/>
          <w:bCs/>
          <w:sz w:val="24"/>
          <w:szCs w:val="24"/>
        </w:rPr>
        <w:t>rammarico</w:t>
      </w:r>
      <w:r w:rsidRPr="006D0E7D">
        <w:rPr>
          <w:rFonts w:ascii="Arial" w:hAnsi="Arial" w:cs="Arial"/>
          <w:sz w:val="24"/>
          <w:szCs w:val="24"/>
        </w:rPr>
        <w:t xml:space="preserve"> per l’assenza nel</w:t>
      </w:r>
      <w:r w:rsidR="00675433" w:rsidRPr="006D0E7D">
        <w:rPr>
          <w:rFonts w:ascii="Arial" w:hAnsi="Arial" w:cs="Arial"/>
          <w:sz w:val="24"/>
          <w:szCs w:val="24"/>
        </w:rPr>
        <w:t>la</w:t>
      </w:r>
      <w:r w:rsidRPr="006D0E7D">
        <w:rPr>
          <w:rFonts w:ascii="Arial" w:hAnsi="Arial" w:cs="Arial"/>
          <w:sz w:val="24"/>
          <w:szCs w:val="24"/>
        </w:rPr>
        <w:t xml:space="preserve"> </w:t>
      </w:r>
      <w:r w:rsidR="00675433" w:rsidRPr="006D0E7D">
        <w:rPr>
          <w:rFonts w:ascii="Arial" w:hAnsi="Arial" w:cs="Arial"/>
          <w:sz w:val="24"/>
          <w:szCs w:val="24"/>
        </w:rPr>
        <w:t xml:space="preserve">parte dedicata agli </w:t>
      </w:r>
      <w:r w:rsidR="00675433" w:rsidRPr="006D0E7D">
        <w:rPr>
          <w:rFonts w:ascii="Arial" w:hAnsi="Arial" w:cs="Arial"/>
          <w:b/>
          <w:bCs/>
          <w:sz w:val="24"/>
          <w:szCs w:val="24"/>
        </w:rPr>
        <w:t>incentivi alle aggregazioni</w:t>
      </w:r>
      <w:r w:rsidR="00675433" w:rsidRPr="006D0E7D">
        <w:rPr>
          <w:rFonts w:ascii="Arial" w:hAnsi="Arial" w:cs="Arial"/>
          <w:sz w:val="24"/>
          <w:szCs w:val="24"/>
        </w:rPr>
        <w:t xml:space="preserve"> di attività di minori dimensioni </w:t>
      </w:r>
      <w:r w:rsidRPr="006D0E7D">
        <w:rPr>
          <w:rFonts w:ascii="Arial" w:hAnsi="Arial" w:cs="Arial"/>
          <w:sz w:val="24"/>
          <w:szCs w:val="24"/>
        </w:rPr>
        <w:t xml:space="preserve">di riferimenti al tema della 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neutralità fiscale delle operazioni di riorganizzazione delle attività di lavoro autonomo e della determinazione opzionale per cassa dei redditi delle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società tra professionisti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 che rappresenterebbero una spinta importante e non più rinviabile all</w:t>
      </w:r>
      <w:r w:rsidR="00675433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o sviluppo di servizi professionali </w:t>
      </w:r>
      <w:r w:rsidR="00721871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sempre </w:t>
      </w:r>
      <w:r w:rsidR="00675433" w:rsidRPr="006D0E7D">
        <w:rPr>
          <w:rFonts w:ascii="Arial" w:hAnsi="Arial" w:cs="Arial"/>
          <w:sz w:val="24"/>
          <w:szCs w:val="24"/>
          <w:shd w:val="clear" w:color="auto" w:fill="FFFFFF"/>
        </w:rPr>
        <w:t>più competitivi e adeguati alle richieste di mercato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” e aggiunge che “il tema del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catasto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, al momento accantonato, non potrà essere del tutto trascurato, </w:t>
      </w:r>
      <w:r w:rsidR="006D0E7D"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perché 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impatta su tutta la </w:t>
      </w:r>
      <w:r w:rsidRPr="006D0E7D">
        <w:rPr>
          <w:rFonts w:ascii="Arial" w:hAnsi="Arial" w:cs="Arial"/>
          <w:b/>
          <w:bCs/>
          <w:sz w:val="24"/>
          <w:szCs w:val="24"/>
          <w:shd w:val="clear" w:color="auto" w:fill="FFFFFF"/>
        </w:rPr>
        <w:t>fiscalità immobiliare</w:t>
      </w:r>
      <w:r w:rsidRPr="006D0E7D">
        <w:rPr>
          <w:rFonts w:ascii="Arial" w:hAnsi="Arial" w:cs="Arial"/>
          <w:sz w:val="24"/>
          <w:szCs w:val="24"/>
          <w:shd w:val="clear" w:color="auto" w:fill="FFFFFF"/>
        </w:rPr>
        <w:t xml:space="preserve"> ed è quindi decisivo per il Paese”. </w:t>
      </w:r>
    </w:p>
    <w:p w14:paraId="0557AFDA" w14:textId="77777777" w:rsidR="005D2E2E" w:rsidRDefault="005D2E2E" w:rsidP="005D2E2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195E16D" w14:textId="35D3C668" w:rsidR="009258D3" w:rsidRPr="00803CA6" w:rsidRDefault="009258D3" w:rsidP="005D2E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color w:val="4472C4" w:themeColor="accent1"/>
        </w:rPr>
      </w:pPr>
    </w:p>
    <w:sectPr w:rsidR="009258D3" w:rsidRPr="00803CA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1018" w14:textId="77777777" w:rsidR="00D815D6" w:rsidRDefault="00D815D6" w:rsidP="00C244F9">
      <w:pPr>
        <w:spacing w:after="0" w:line="240" w:lineRule="auto"/>
      </w:pPr>
      <w:r>
        <w:separator/>
      </w:r>
    </w:p>
  </w:endnote>
  <w:endnote w:type="continuationSeparator" w:id="0">
    <w:p w14:paraId="001A2D0B" w14:textId="77777777" w:rsidR="00D815D6" w:rsidRDefault="00D815D6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0D73" w14:textId="77777777" w:rsidR="00D815D6" w:rsidRDefault="00D815D6" w:rsidP="00C244F9">
      <w:pPr>
        <w:spacing w:after="0" w:line="240" w:lineRule="auto"/>
      </w:pPr>
      <w:r>
        <w:separator/>
      </w:r>
    </w:p>
  </w:footnote>
  <w:footnote w:type="continuationSeparator" w:id="0">
    <w:p w14:paraId="0CDFE129" w14:textId="77777777" w:rsidR="00D815D6" w:rsidRDefault="00D815D6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C1CCB"/>
    <w:rsid w:val="000C54F5"/>
    <w:rsid w:val="000D60C6"/>
    <w:rsid w:val="00100C83"/>
    <w:rsid w:val="001159DF"/>
    <w:rsid w:val="00137250"/>
    <w:rsid w:val="00144BD8"/>
    <w:rsid w:val="00253FD1"/>
    <w:rsid w:val="0029157E"/>
    <w:rsid w:val="002B78A5"/>
    <w:rsid w:val="002C41B2"/>
    <w:rsid w:val="0031138F"/>
    <w:rsid w:val="003773A3"/>
    <w:rsid w:val="003935EA"/>
    <w:rsid w:val="003C2E00"/>
    <w:rsid w:val="003E3FF8"/>
    <w:rsid w:val="00410906"/>
    <w:rsid w:val="00431B99"/>
    <w:rsid w:val="00461FF4"/>
    <w:rsid w:val="00502804"/>
    <w:rsid w:val="00542E37"/>
    <w:rsid w:val="005D2E2E"/>
    <w:rsid w:val="00605191"/>
    <w:rsid w:val="00656D74"/>
    <w:rsid w:val="0066467C"/>
    <w:rsid w:val="00675433"/>
    <w:rsid w:val="006D0E7D"/>
    <w:rsid w:val="006F4EC2"/>
    <w:rsid w:val="00721871"/>
    <w:rsid w:val="007821E9"/>
    <w:rsid w:val="00803CA6"/>
    <w:rsid w:val="0081049B"/>
    <w:rsid w:val="00813B39"/>
    <w:rsid w:val="00881EAE"/>
    <w:rsid w:val="008C37D4"/>
    <w:rsid w:val="008D3734"/>
    <w:rsid w:val="009258D3"/>
    <w:rsid w:val="009C53C6"/>
    <w:rsid w:val="009F4D75"/>
    <w:rsid w:val="00A31D9E"/>
    <w:rsid w:val="00A604B1"/>
    <w:rsid w:val="00A80209"/>
    <w:rsid w:val="00A866E4"/>
    <w:rsid w:val="00AC62A8"/>
    <w:rsid w:val="00B46E7F"/>
    <w:rsid w:val="00B73BD6"/>
    <w:rsid w:val="00B82756"/>
    <w:rsid w:val="00BB3D1D"/>
    <w:rsid w:val="00BC5320"/>
    <w:rsid w:val="00C244F9"/>
    <w:rsid w:val="00C66CD4"/>
    <w:rsid w:val="00C7682B"/>
    <w:rsid w:val="00CA5E3D"/>
    <w:rsid w:val="00CB7858"/>
    <w:rsid w:val="00CD1216"/>
    <w:rsid w:val="00CD58EC"/>
    <w:rsid w:val="00CF7F11"/>
    <w:rsid w:val="00D06F3A"/>
    <w:rsid w:val="00D64987"/>
    <w:rsid w:val="00D815D6"/>
    <w:rsid w:val="00DD1BB9"/>
    <w:rsid w:val="00DF6872"/>
    <w:rsid w:val="00E00966"/>
    <w:rsid w:val="00E47BE0"/>
    <w:rsid w:val="00E50272"/>
    <w:rsid w:val="00E507D0"/>
    <w:rsid w:val="00EC2930"/>
    <w:rsid w:val="00F04783"/>
    <w:rsid w:val="00F362C1"/>
    <w:rsid w:val="00F5079D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docId w15:val="{8D70EEA4-64A2-4D06-8E99-F2360355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2021-07-01T12:42:00Z</dcterms:created>
  <dcterms:modified xsi:type="dcterms:W3CDTF">2021-07-01T12:45:00Z</dcterms:modified>
</cp:coreProperties>
</file>