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5D14" w14:textId="77777777" w:rsidR="006B2349" w:rsidRDefault="006B2349" w:rsidP="008C77D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3050438E" w:rsidR="00B46E7F" w:rsidRPr="006B2349" w:rsidRDefault="00B33AAD" w:rsidP="008C77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B2349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B2349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1262612" w14:textId="77777777" w:rsidR="00965467" w:rsidRPr="006B2349" w:rsidRDefault="00965467" w:rsidP="008C77D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A5B99FD" w14:textId="159940CA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GIUSTIZIA TRIBUTARIA: COMMERCIALISTI, GARANTIRE INDIPENDENZA E SPECIALIZZAZIONE</w:t>
      </w:r>
    </w:p>
    <w:p w14:paraId="40D6939E" w14:textId="33574200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Il Consiglio nazionale della categoria in audizione al Senato: “Sì a magistrati tributari a tempo pieno”</w:t>
      </w:r>
    </w:p>
    <w:p w14:paraId="02E9EA1F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2C752F1" w14:textId="2F49477A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1 marzo 2022 –</w:t>
      </w:r>
      <w:r>
        <w:rPr>
          <w:rFonts w:ascii="Arial" w:hAnsi="Arial" w:cs="Arial"/>
          <w:color w:val="000000"/>
          <w:sz w:val="24"/>
          <w:szCs w:val="24"/>
        </w:rPr>
        <w:t xml:space="preserve"> “La riforma della giustizia tributaria è fondamentale per il corretto dispiegarsi del rapporto fisco-contribuenti. Ora che con il PNRR è tornata di grande attualità, è bene che la politica vi dedichi la massima attenzione. Si tratta di un tema sensibile per migliorare la competitività del nostro Paese, un’occasione di cambiamento che non va sprecata”. </w:t>
      </w:r>
      <w:r>
        <w:rPr>
          <w:rFonts w:ascii="Arial" w:hAnsi="Arial" w:cs="Arial"/>
          <w:color w:val="000000"/>
          <w:sz w:val="24"/>
          <w:szCs w:val="24"/>
        </w:rPr>
        <w:t>È</w:t>
      </w:r>
      <w:r>
        <w:rPr>
          <w:rFonts w:ascii="Arial" w:hAnsi="Arial" w:cs="Arial"/>
          <w:color w:val="000000"/>
          <w:sz w:val="24"/>
          <w:szCs w:val="24"/>
        </w:rPr>
        <w:t xml:space="preserve"> quanto ha affermato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Pasquale Saggese</w:t>
      </w:r>
      <w:r>
        <w:rPr>
          <w:rFonts w:ascii="Arial" w:hAnsi="Arial" w:cs="Arial"/>
          <w:color w:val="000000"/>
          <w:sz w:val="24"/>
          <w:szCs w:val="24"/>
        </w:rPr>
        <w:t xml:space="preserve">, coordinatore dell’area fiscalità della Fondazione nazionale dei commercialisti, intervenuto in rappresentanza del Consiglio nazionale della categoria in audizione presso le Commissione riunite Giustizia e Finanze e Tesoro del Senato. Secondo i commercialisti, la riforma “deve puntare a rendere le attuali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Commissioni tributarie</w:t>
      </w:r>
      <w:r>
        <w:rPr>
          <w:rFonts w:ascii="Arial" w:hAnsi="Arial" w:cs="Arial"/>
          <w:color w:val="000000"/>
          <w:sz w:val="24"/>
          <w:szCs w:val="24"/>
        </w:rPr>
        <w:t xml:space="preserve"> sempre più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indipendenti</w:t>
      </w:r>
      <w:r>
        <w:rPr>
          <w:rFonts w:ascii="Arial" w:hAnsi="Arial" w:cs="Arial"/>
          <w:color w:val="000000"/>
          <w:sz w:val="24"/>
          <w:szCs w:val="24"/>
        </w:rPr>
        <w:t xml:space="preserve">, assicurandone ancor meglio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qualità e equidistanza</w:t>
      </w:r>
      <w:r>
        <w:rPr>
          <w:rFonts w:ascii="Arial" w:hAnsi="Arial" w:cs="Arial"/>
          <w:color w:val="000000"/>
          <w:sz w:val="24"/>
          <w:szCs w:val="24"/>
        </w:rPr>
        <w:t xml:space="preserve"> dalle parti, introducendo un </w:t>
      </w:r>
      <w:r>
        <w:rPr>
          <w:rFonts w:ascii="Arial" w:hAnsi="Arial" w:cs="Arial"/>
          <w:b/>
          <w:bCs/>
          <w:color w:val="000000"/>
          <w:sz w:val="24"/>
          <w:szCs w:val="24"/>
        </w:rPr>
        <w:t>giudice a tempo pieno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professionale e specializzato</w:t>
      </w:r>
      <w:r>
        <w:rPr>
          <w:rFonts w:ascii="Arial" w:hAnsi="Arial" w:cs="Arial"/>
          <w:color w:val="000000"/>
          <w:sz w:val="24"/>
          <w:szCs w:val="24"/>
        </w:rPr>
        <w:t xml:space="preserve">, che possa garantire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autonomia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terzietà</w:t>
      </w:r>
      <w:r>
        <w:rPr>
          <w:rFonts w:ascii="Arial" w:hAnsi="Arial" w:cs="Arial"/>
          <w:color w:val="000000"/>
          <w:sz w:val="24"/>
          <w:szCs w:val="24"/>
        </w:rPr>
        <w:t xml:space="preserve"> della funzione giudicante, oltre che una maggiore sua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produttività</w:t>
      </w:r>
      <w:r>
        <w:rPr>
          <w:rFonts w:ascii="Arial" w:hAnsi="Arial" w:cs="Arial"/>
          <w:color w:val="000000"/>
          <w:sz w:val="24"/>
          <w:szCs w:val="24"/>
        </w:rPr>
        <w:t>”.  </w:t>
      </w:r>
    </w:p>
    <w:p w14:paraId="13C5E3CA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9C066A5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il Consiglio nazionale della categoria, i futuri organi giudicanti “dovranno essere composti da soggetti selezionati con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concorso pubblico</w:t>
      </w:r>
      <w:r>
        <w:rPr>
          <w:rFonts w:ascii="Arial" w:hAnsi="Arial" w:cs="Arial"/>
          <w:color w:val="000000"/>
          <w:sz w:val="24"/>
          <w:szCs w:val="24"/>
        </w:rPr>
        <w:t xml:space="preserve"> per titoli ed esami, che preveda il diritto tributario e l’economia aziendale tra le materie di esame e tra i titoli preferenziali di studio e di servizio.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Magistrati a tempo pieno, professionali e specializzati</w:t>
      </w:r>
      <w:r>
        <w:rPr>
          <w:rFonts w:ascii="Arial" w:hAnsi="Arial" w:cs="Arial"/>
          <w:color w:val="000000"/>
          <w:sz w:val="24"/>
          <w:szCs w:val="24"/>
        </w:rPr>
        <w:t>, retribuiti in misura predeterminata dalla legge e incentivati in base al merito e alla produttività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che siano altresì sottoposti all’obbligo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formazione continua</w:t>
      </w:r>
      <w:r>
        <w:rPr>
          <w:rFonts w:ascii="Arial" w:hAnsi="Arial" w:cs="Arial"/>
          <w:color w:val="000000"/>
          <w:sz w:val="24"/>
          <w:szCs w:val="24"/>
        </w:rPr>
        <w:t>”. </w:t>
      </w:r>
    </w:p>
    <w:p w14:paraId="552E8C80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5D0EC0E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Secondo i commercialisti “il rinnovamento strutturale della giustizia tributaria nel segno della professionalità e della reale specializzazione richiede evidentemente un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adeguato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periodo transitorio</w:t>
      </w:r>
      <w:r>
        <w:rPr>
          <w:rFonts w:ascii="Arial" w:hAnsi="Arial" w:cs="Arial"/>
          <w:color w:val="000000"/>
          <w:sz w:val="24"/>
          <w:szCs w:val="24"/>
        </w:rPr>
        <w:t xml:space="preserve"> per garantire il graduale inserimento dei nuovi giudici e preservare, contestualmente, le professionalità operanti nelle attuali Commissione tributarie”. </w:t>
      </w:r>
    </w:p>
    <w:p w14:paraId="6AFCC1F4" w14:textId="77777777" w:rsidR="008C77D2" w:rsidRDefault="008C77D2" w:rsidP="008C77D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D98ECE7" w14:textId="28C7D73E" w:rsidR="00D0617D" w:rsidRPr="006B2349" w:rsidRDefault="008C77D2" w:rsidP="008C77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la categoria va poi meglio definito il perimetro dei </w:t>
      </w:r>
      <w:r>
        <w:rPr>
          <w:rFonts w:ascii="Arial" w:hAnsi="Arial" w:cs="Arial"/>
          <w:b/>
          <w:bCs/>
          <w:color w:val="000000"/>
          <w:sz w:val="24"/>
          <w:szCs w:val="24"/>
        </w:rPr>
        <w:t>soggetti abilitati alla difesa tecnica</w:t>
      </w:r>
      <w:r>
        <w:rPr>
          <w:rFonts w:ascii="Arial" w:hAnsi="Arial" w:cs="Arial"/>
          <w:color w:val="000000"/>
          <w:sz w:val="24"/>
          <w:szCs w:val="24"/>
        </w:rPr>
        <w:t xml:space="preserve">. Per una giustizia iperspecialistica, quale quella tributaria, il Consiglio nazionale ritiene “indispensabile riconoscere il ruolo di difensore ai </w:t>
      </w:r>
      <w:r>
        <w:rPr>
          <w:rFonts w:ascii="Arial" w:hAnsi="Arial" w:cs="Arial"/>
          <w:b/>
          <w:bCs/>
          <w:color w:val="000000"/>
          <w:sz w:val="24"/>
          <w:szCs w:val="24"/>
        </w:rPr>
        <w:t>soli</w:t>
      </w:r>
      <w:r>
        <w:rPr>
          <w:rFonts w:ascii="Arial" w:hAnsi="Arial" w:cs="Arial"/>
          <w:color w:val="000000"/>
          <w:sz w:val="24"/>
          <w:szCs w:val="24"/>
        </w:rPr>
        <w:t xml:space="preserve"> professionisti iscritti negli albi degli </w:t>
      </w:r>
      <w:r>
        <w:rPr>
          <w:rFonts w:ascii="Arial" w:hAnsi="Arial" w:cs="Arial"/>
          <w:b/>
          <w:bCs/>
          <w:color w:val="000000"/>
          <w:sz w:val="24"/>
          <w:szCs w:val="24"/>
        </w:rPr>
        <w:t>avvocati, commercialisti e consulenti del lavoro</w:t>
      </w:r>
      <w:r>
        <w:rPr>
          <w:rFonts w:ascii="Arial" w:hAnsi="Arial" w:cs="Arial"/>
          <w:color w:val="000000"/>
          <w:sz w:val="24"/>
          <w:szCs w:val="24"/>
        </w:rPr>
        <w:t xml:space="preserve">, e ciò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anche nel giudizio di legittimità</w:t>
      </w:r>
      <w:r>
        <w:rPr>
          <w:rFonts w:ascii="Arial" w:hAnsi="Arial" w:cs="Arial"/>
          <w:color w:val="000000"/>
          <w:sz w:val="24"/>
          <w:szCs w:val="24"/>
        </w:rPr>
        <w:t>”. Infine, per la piena attuazione del principio del giusto processo e delle parità delle armi, Saggese ha richiamato la necessità di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vietare la trattazione delle udienze in forma “cartolare”</w:t>
      </w:r>
      <w:r>
        <w:rPr>
          <w:rFonts w:ascii="Arial" w:hAnsi="Arial" w:cs="Arial"/>
          <w:color w:val="000000"/>
          <w:sz w:val="24"/>
          <w:szCs w:val="24"/>
        </w:rPr>
        <w:t xml:space="preserve"> nonostante il verificarsi di periodi di emergenza come quello attuale, e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garantire anche ai contribuenti l’accessibilità alla banca dati della giurisprudenza tributaria di merito tenuta dal MEF</w:t>
      </w:r>
      <w:r>
        <w:rPr>
          <w:rFonts w:ascii="Arial" w:hAnsi="Arial" w:cs="Arial"/>
          <w:color w:val="000000"/>
          <w:sz w:val="24"/>
          <w:szCs w:val="24"/>
        </w:rPr>
        <w:t>, che gli enti impositori possono invece consultare liberamente”.</w:t>
      </w:r>
    </w:p>
    <w:sectPr w:rsidR="00D0617D" w:rsidRPr="006B234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B739" w14:textId="77777777" w:rsidR="00200FB9" w:rsidRDefault="00200FB9" w:rsidP="00C244F9">
      <w:pPr>
        <w:spacing w:after="0" w:line="240" w:lineRule="auto"/>
      </w:pPr>
      <w:r>
        <w:separator/>
      </w:r>
    </w:p>
  </w:endnote>
  <w:endnote w:type="continuationSeparator" w:id="0">
    <w:p w14:paraId="0DCB44AC" w14:textId="77777777" w:rsidR="00200FB9" w:rsidRDefault="00200FB9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2425" w14:textId="77777777" w:rsidR="00200FB9" w:rsidRDefault="00200FB9" w:rsidP="00C244F9">
      <w:pPr>
        <w:spacing w:after="0" w:line="240" w:lineRule="auto"/>
      </w:pPr>
      <w:r>
        <w:separator/>
      </w:r>
    </w:p>
  </w:footnote>
  <w:footnote w:type="continuationSeparator" w:id="0">
    <w:p w14:paraId="20F193FE" w14:textId="77777777" w:rsidR="00200FB9" w:rsidRDefault="00200FB9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704C2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00FB9"/>
    <w:rsid w:val="00227B3C"/>
    <w:rsid w:val="00276BA4"/>
    <w:rsid w:val="0029157E"/>
    <w:rsid w:val="002A72F3"/>
    <w:rsid w:val="002B78A5"/>
    <w:rsid w:val="002C41B2"/>
    <w:rsid w:val="002D4028"/>
    <w:rsid w:val="0031138F"/>
    <w:rsid w:val="00317E3E"/>
    <w:rsid w:val="003539AF"/>
    <w:rsid w:val="00374EC0"/>
    <w:rsid w:val="003773A3"/>
    <w:rsid w:val="003935EA"/>
    <w:rsid w:val="0039603C"/>
    <w:rsid w:val="003C2E00"/>
    <w:rsid w:val="003D0CE5"/>
    <w:rsid w:val="003E3FF8"/>
    <w:rsid w:val="00410906"/>
    <w:rsid w:val="00427803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5B6079"/>
    <w:rsid w:val="00605191"/>
    <w:rsid w:val="006161FB"/>
    <w:rsid w:val="006273EA"/>
    <w:rsid w:val="00656D74"/>
    <w:rsid w:val="0066467C"/>
    <w:rsid w:val="00686B3A"/>
    <w:rsid w:val="00696C9A"/>
    <w:rsid w:val="006B2349"/>
    <w:rsid w:val="006B481F"/>
    <w:rsid w:val="006D7EF8"/>
    <w:rsid w:val="006F4EC2"/>
    <w:rsid w:val="00792220"/>
    <w:rsid w:val="007A2D70"/>
    <w:rsid w:val="007B4E5F"/>
    <w:rsid w:val="007F0536"/>
    <w:rsid w:val="0080067F"/>
    <w:rsid w:val="00800A12"/>
    <w:rsid w:val="0081049B"/>
    <w:rsid w:val="00813B39"/>
    <w:rsid w:val="00893C4E"/>
    <w:rsid w:val="008C37D4"/>
    <w:rsid w:val="008C77D2"/>
    <w:rsid w:val="00911D15"/>
    <w:rsid w:val="009258D3"/>
    <w:rsid w:val="00965467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B6DAF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C0B46"/>
    <w:rsid w:val="00EC2930"/>
    <w:rsid w:val="00EC4671"/>
    <w:rsid w:val="00EE753C"/>
    <w:rsid w:val="00F04783"/>
    <w:rsid w:val="00F362C1"/>
    <w:rsid w:val="00F6642C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2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969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2022-01-31T11:45:00Z</dcterms:created>
  <dcterms:modified xsi:type="dcterms:W3CDTF">2022-03-01T20:33:00Z</dcterms:modified>
</cp:coreProperties>
</file>